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57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color w:val="2B5020"/>
          <w:sz w:val="22"/>
          <w:szCs w:val="22"/>
        </w:rPr>
      </w:r>
    </w:p>
    <w:p>
      <w:pPr>
        <w:pStyle w:val="Normal"/>
        <w:bidi w:val="0"/>
        <w:spacing w:before="0" w:after="57"/>
        <w:jc w:val="center"/>
        <w:rPr>
          <w:rFonts w:ascii="Oswald" w:hAnsi="Oswald"/>
          <w:color w:val="2B5020"/>
          <w:sz w:val="24"/>
          <w:szCs w:val="24"/>
        </w:rPr>
      </w:pPr>
      <w:r>
        <w:rPr>
          <w:rFonts w:ascii="Oswald" w:hAnsi="Oswald"/>
          <w:color w:val="2B5020"/>
          <w:sz w:val="24"/>
          <w:szCs w:val="24"/>
        </w:rPr>
        <w:t>PLIEGO DE CONDICIONES SISTEMA RIZOMA</w:t>
      </w:r>
    </w:p>
    <w:p>
      <w:pPr>
        <w:pStyle w:val="Normal"/>
        <w:bidi w:val="0"/>
        <w:spacing w:lineRule="auto" w:line="240" w:before="0" w:after="57"/>
        <w:jc w:val="center"/>
        <w:rPr>
          <w:rFonts w:ascii="Oswald" w:hAnsi="Oswald"/>
          <w:color w:val="2B5020"/>
          <w:sz w:val="24"/>
          <w:szCs w:val="24"/>
        </w:rPr>
      </w:pPr>
      <w:r>
        <w:rPr>
          <w:rFonts w:ascii="Oswald" w:hAnsi="Oswald"/>
          <w:color w:val="2B5020"/>
          <w:sz w:val="24"/>
          <w:szCs w:val="24"/>
        </w:rPr>
        <w:t>PRESCRIPCIONES EN CUANTO A LA EJECUCIÓN POR UNIDAD DE OBRA</w:t>
      </w:r>
    </w:p>
    <w:p>
      <w:pPr>
        <w:pStyle w:val="Normal"/>
        <w:bidi w:val="0"/>
        <w:spacing w:lineRule="auto" w:line="240" w:before="0" w:after="170"/>
        <w:jc w:val="center"/>
        <w:rPr>
          <w:rFonts w:ascii="Oswald" w:hAnsi="Oswald"/>
          <w:color w:val="2B5020"/>
          <w:sz w:val="22"/>
          <w:szCs w:val="22"/>
        </w:rPr>
      </w:pPr>
      <w:r>
        <w:rPr>
          <w:rFonts w:ascii="Oswald" w:hAnsi="Oswald"/>
          <w:color w:val="2B5020"/>
          <w:sz w:val="22"/>
          <w:szCs w:val="22"/>
        </w:rPr>
      </w:r>
    </w:p>
    <w:p>
      <w:pPr>
        <w:pStyle w:val="BodyText"/>
        <w:bidi w:val="0"/>
        <w:spacing w:lineRule="auto" w:line="240" w:before="0" w:after="170"/>
        <w:ind w:hanging="0" w:left="709" w:right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UNIDAD DE OBRA: CUBIERTA VEGETAL CON SUSTRATO INERTE Y TERMINACIÓN VEGETAL A ELEGIR, SISTEMA RIZOMA.</w:t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1.   Características técnicas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Cubierta vegetal no transitable con sustrato inerte SG-L y terminación vegetal a elegir, sistema Rizoma, pendiente del 1% al  100%. 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CAPA SEPARADORA SG-G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T2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: Geotextil no tejido compuesto por fibras cortadas de polipropileno de alta tenacidad 100%, unido mecánicamente por un proceso de agujeteado y termofijado, de gramaje 200 gr/m². 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/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CAPA RETENEDORA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Y DRENANTE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SG-LN20: </w:t>
      </w:r>
      <w:r>
        <w:rPr>
          <w:rFonts w:ascii="Roboto" w:hAnsi="Robot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</w:rPr>
        <w:t>Lámina nodular drenante de polietileno de alta densidad de 20 mm de espesor con capacidad de retención de 6 ltr/m².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/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  <w:effect w:val="none"/>
        </w:rPr>
        <w:t>SUSTRATO INERTE SG-L25 o SG-L40</w:t>
      </w:r>
      <w:r>
        <w:rPr>
          <w:rFonts w:ascii="Roboto" w:hAnsi="Robot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  <w:effect w:val="none"/>
        </w:rPr>
        <w:t xml:space="preserve">: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plancha de sustrato inerte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específico para cubiertas vegetales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de 25 mm o 40 mm en función del acabado vegetal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 100 kg/m³ de densidad.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SISTEMA DE RIEGO SG-R16: formado por tubería de riego autocompensante con goteros, incluida parte proporcional de codos, uniones y tubería de distribución. 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CENTRALIZACIÓN DE RIEGO SG-A24R: Instalación, programación y puesta a punto de sistema de riego  con dosificación de fertilizante automática, y sistema de telecontrol y telegestión de riego GALCON GSI, con alertas de caudal y eléctricas por correo electrónico.</w:t>
      </w:r>
    </w:p>
    <w:p>
      <w:pPr>
        <w:pStyle w:val="BodyText"/>
        <w:widowControl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TERMINACIÓN VEGETAL: En función del acabado deseado, mediante plantación de 25 plantas/m²</w:t>
      </w: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vertAlign w:val="superscript"/>
        </w:rPr>
        <w:t xml:space="preserve">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o mediante tepes de especies seleccionadas por un técnico de SingularGreen.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2. Normativa de aplicación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CTE. DB HS Salubridad.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CTE. DB SI Seguridad en caso de incendio.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NTE-QAA. Cubiertas: Azoteas ajardinadas.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NTJ 11C Cubiertas verdes.</w:t>
      </w:r>
    </w:p>
    <w:p>
      <w:pPr>
        <w:pStyle w:val="BodyText"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3.   Criterio de medición en proyecto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Superficie medida en proyección horizontal, según documentación gráfica de Proyecto, desde las caras interiores de los antepechos o petos perimetrales que la limitan.</w:t>
      </w:r>
    </w:p>
    <w:p>
      <w:pPr>
        <w:pStyle w:val="Normal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4.   CONDICIONES PREVIAS QUE HAN DE CUMPLIRSE ANTES DE LA EJECUCIÓN DE LAS UNIDADES DE OBRA DEL SOPORTE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4.1 DEL SOPORTE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comprobará que la superficie de la base resistente es uniforme y plana, está limpia y carece de restos de obra.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comprobará que los paramentos verticales de casetones, petos perimetrales y otros elementos constructivos se encuentran terminados.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4.2 AMBIENTALES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suspenderán los trabajos cuando llueva, nieve o la velocidad del viento sea superior a 50 km/h, debiendo aplicarse en unas condiciones térmicas ambientales que se encuentren dentro de los márgenes prescritos en las correspondientes especificaciones de aplicación.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4.3 DEL CONTRATISTA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Habrá recibido la aceptación previa, por parte del fabricante, de la solución constructiva adoptada.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5.   PROCESO DE EJECUCIÓN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5.1 MEDIDAS PARA ASEGURAR LA COMPATIBILIDAD ENTRE LOS DIFERENTES PRODUCTOS, ELEMENTOS Y SISTEMAS CONSTRUCTIVOS QUE COMPONEN LA CUBIERTA Y SON INDEPENDIENTES A LA UNIDAD DE OBRA.</w:t>
      </w:r>
    </w:p>
    <w:p>
      <w:pPr>
        <w:pStyle w:val="BodyText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</w:t>
      </w:r>
      <w:r>
        <w:rPr>
          <w:rFonts w:ascii="Roboto" w:hAnsi="Roboto"/>
          <w:caps w:val="false"/>
          <w:smallCaps w:val="false"/>
          <w:color w:val="000000"/>
          <w:sz w:val="22"/>
          <w:szCs w:val="22"/>
        </w:rPr>
        <w:t xml:space="preserve"> prestará especial atención a las incompatibilidades de uso que se especifican en las fichas técnicas de los diferentes elementos que pudieran componer el resto de componentes de la cubierta y que no forman parte de esta unidad de obra (soporte resistente, formación de pendientes, barrera de vapor, aislamiento térmico, impermeabilización y capas separadoras).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/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5.2 FASES DE EJECUCIÓN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Replanteo de los puntos singulares.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Limpieza y preparación de la superficie.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impermeabilización.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capa separadora bajo protección.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Colocación del sustrato inerte.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Relleno del espacio entre el borde de la cubierta y la vegetación con cantos rodados.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Terminación vegetal: Plantación o tepes.</w:t>
      </w:r>
    </w:p>
    <w:p>
      <w:pPr>
        <w:pStyle w:val="Normal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Instalación de riego.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sz w:val="22"/>
          <w:szCs w:val="22"/>
          <w:shd w:fill="auto" w:val="clear"/>
        </w:rPr>
        <w:t>Comprobación general.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170"/>
        <w:ind w:hanging="0" w:left="72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FFFF00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FFFF00" w:val="clear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5.3 CONDICIONES DE TERMINACIÓN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Serán básicas las condiciones de estanqueidad.</w:t>
      </w:r>
    </w:p>
    <w:p>
      <w:pPr>
        <w:pStyle w:val="BodyText"/>
        <w:widowControl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6.    Criterio de medición en obra y condiciones de abono</w:t>
      </w:r>
    </w:p>
    <w:p>
      <w:pPr>
        <w:pStyle w:val="Normal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Se medirá, en proyección horizontal, la superficie realmente ejecutada según especificaciones de Proyecto. Se deben incluir las caras interiores de los antepechos o petos perimetrales que limitan dicha superficie.</w:t>
      </w:r>
    </w:p>
    <w:p>
      <w:pPr>
        <w:pStyle w:val="Normal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El precio no incluye la impermeabilización.</w:t>
      </w:r>
    </w:p>
    <w:p>
      <w:pPr>
        <w:pStyle w:val="Normal"/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color w:val="2B5020"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7.    Conservación y mantenimiento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 xml:space="preserve">Se protegerá la cubierta de cualquier acción mecánica no prevista en el cálculo, hasta que se proceda a la colocación del sustrato. 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 xml:space="preserve">Se evitará la colocación de cualquier elemento no previsto en proyecto que pueda perforar la impermeabilización. 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Se evitará el vertido de residuos de obra sobre la capa vegetal.</w:t>
      </w:r>
    </w:p>
    <w:p>
      <w:pPr>
        <w:pStyle w:val="Normal"/>
        <w:bidi w:val="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891" w:footer="789" w:bottom="17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Oswald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SINGULARGREEN S.L. - C.I.F. B-54745583 - C/ Francisco Carratalá Cernuda 34, Bajo 1 – 03010 Alicante (España)</w:t>
    </w:r>
  </w:p>
  <w:p>
    <w:pPr>
      <w:pStyle w:val="Normal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Tfnos: (+34) 966 282 640 - (+34) 673 768 624 - info@singulargreen.com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SINGULARGREEN S.L. - C.I.F. B-54745583 - C/ Francisco Carratalá Cernuda 34, Bajo 1 – 03010 Alicante (España)</w:t>
    </w:r>
  </w:p>
  <w:p>
    <w:pPr>
      <w:pStyle w:val="Normal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Tfnos: (+34) 966 282 640 - (+34) 673 768 624 - info@singulargreen.com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58420</wp:posOffset>
          </wp:positionH>
          <wp:positionV relativeFrom="paragraph">
            <wp:posOffset>-40640</wp:posOffset>
          </wp:positionV>
          <wp:extent cx="826135" cy="37338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swald" w:hAnsi="Oswald"/>
        <w:b w:val="false"/>
        <w:bCs w:val="false"/>
        <w:color w:val="2B5020"/>
        <w:sz w:val="16"/>
        <w:szCs w:val="16"/>
      </w:rPr>
      <w:t>PLIEGO DE CONDICIONES</w:t>
    </w:r>
  </w:p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rPr>
        <w:rFonts w:ascii="Oswald" w:hAnsi="Oswald"/>
        <w:b w:val="false"/>
        <w:bCs w:val="false"/>
        <w:color w:val="2B5020"/>
        <w:sz w:val="16"/>
        <w:szCs w:val="16"/>
      </w:rPr>
      <w:t>CUBIERTA RIZOMA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58420</wp:posOffset>
          </wp:positionH>
          <wp:positionV relativeFrom="paragraph">
            <wp:posOffset>-40640</wp:posOffset>
          </wp:positionV>
          <wp:extent cx="826135" cy="37338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swald" w:hAnsi="Oswald"/>
        <w:b w:val="false"/>
        <w:bCs w:val="false"/>
        <w:color w:val="2B5020"/>
        <w:sz w:val="16"/>
        <w:szCs w:val="16"/>
      </w:rPr>
      <w:t>PLIEGO DE CONDICIONES</w:t>
    </w:r>
  </w:p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rPr>
        <w:rFonts w:ascii="Oswald" w:hAnsi="Oswald"/>
        <w:b w:val="false"/>
        <w:bCs w:val="false"/>
        <w:color w:val="2B5020"/>
        <w:sz w:val="16"/>
        <w:szCs w:val="16"/>
      </w:rPr>
      <w:t>CUBIERTA RIZOMA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8587</TotalTime>
  <Application>LibreOffice/24.2.4.2$Linux_X86_64 LibreOffice_project/420$Build-2</Application>
  <AppVersion>15.0000</AppVersion>
  <Pages>3</Pages>
  <Words>818</Words>
  <Characters>3846</Characters>
  <CharactersWithSpaces>4486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2021-12-02T09:54:21Z</dcterms:created>
  <dc:creator/>
  <dc:description/>
  <dc:language>es-ES</dc:language>
  <cp:lastModifiedBy/>
  <cp:lastPrinted>2024-06-06T14:02:21Z</cp:lastPrinted>
  <dcterms:modified xsi:type="dcterms:W3CDTF">2024-06-06T14:03:29Z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