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spacing w:lineRule="auto" w:line="240" w:before="0" w:after="57"/>
        <w:jc w:val="both"/>
        <w:rPr>
          <w:rFonts w:ascii="Roboto" w:hAnsi="Roboto"/>
          <w:color w:val="2B5020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Normal"/>
        <w:spacing w:lineRule="auto" w:line="240" w:before="0" w:after="57"/>
        <w:jc w:val="center"/>
        <w:rPr>
          <w:rFonts w:ascii="Oswald" w:hAnsi="Oswald"/>
          <w:b w:val="false"/>
          <w:b w:val="false"/>
          <w:bCs w:val="false"/>
          <w:color w:val="2B5020"/>
          <w:sz w:val="24"/>
          <w:szCs w:val="24"/>
        </w:rPr>
      </w:pPr>
      <w:r>
        <w:rPr>
          <w:rStyle w:val="Fuentedeprrafopredeter"/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>SPECIFICATIONS FOR</w:t>
      </w:r>
      <w:r>
        <w:rPr>
          <w:rStyle w:val="Fuentedeprrafopredeter"/>
          <w:rFonts w:ascii="Oswald" w:hAnsi="Oswald"/>
          <w:b w:val="false"/>
          <w:bCs w:val="false"/>
          <w:color w:val="2B5020"/>
          <w:sz w:val="24"/>
          <w:szCs w:val="24"/>
        </w:rPr>
        <w:t xml:space="preserve"> </w:t>
      </w:r>
      <w:r>
        <w:rPr>
          <w:rStyle w:val="Fuentedeprrafopredeter"/>
          <w:rFonts w:ascii="Oswald" w:hAnsi="Oswald"/>
          <w:b w:val="false"/>
          <w:bCs w:val="false"/>
          <w:color w:val="2B5020"/>
          <w:sz w:val="24"/>
          <w:szCs w:val="24"/>
        </w:rPr>
        <w:t>CANTIR</w:t>
      </w:r>
      <w:r>
        <w:rPr>
          <w:rStyle w:val="Fuentedeprrafopredeter"/>
          <w:rFonts w:ascii="Oswald" w:hAnsi="Oswald"/>
          <w:b w:val="false"/>
          <w:bCs w:val="false"/>
          <w:color w:val="2B5020"/>
          <w:sz w:val="24"/>
          <w:szCs w:val="24"/>
        </w:rPr>
        <w:t xml:space="preserve"> </w:t>
      </w:r>
      <w:r>
        <w:rPr>
          <w:rStyle w:val="Fuentedeprrafopredeter"/>
          <w:rFonts w:ascii="Oswald" w:hAnsi="Oswald"/>
          <w:b w:val="false"/>
          <w:bCs w:val="false"/>
          <w:color w:val="2B5020"/>
          <w:sz w:val="24"/>
          <w:szCs w:val="24"/>
        </w:rPr>
        <w:t>SYSTEM</w:t>
      </w:r>
    </w:p>
    <w:p>
      <w:pPr>
        <w:pStyle w:val="Normal"/>
        <w:spacing w:before="0" w:after="57"/>
        <w:jc w:val="center"/>
        <w:rPr>
          <w:i w:val="false"/>
          <w:caps w:val="false"/>
          <w:smallCaps w:val="false"/>
          <w:spacing w:val="0"/>
        </w:rPr>
      </w:pPr>
      <w:r>
        <w:rPr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>REQUIREMENTS FOR EXECUTION PER WORK UNIT</w:t>
      </w:r>
    </w:p>
    <w:p>
      <w:pPr>
        <w:pStyle w:val="Normal"/>
        <w:spacing w:lineRule="auto" w:line="240" w:before="0" w:after="170"/>
        <w:jc w:val="center"/>
        <w:rPr>
          <w:rFonts w:ascii="Oswald" w:hAnsi="Oswald"/>
          <w:color w:val="2B5020"/>
          <w:sz w:val="22"/>
          <w:szCs w:val="22"/>
        </w:rPr>
      </w:pPr>
      <w:r>
        <w:rPr>
          <w:rFonts w:ascii="Oswald" w:hAnsi="Oswald"/>
          <w:color w:val="2B5020"/>
          <w:sz w:val="22"/>
          <w:szCs w:val="22"/>
        </w:rPr>
      </w:r>
    </w:p>
    <w:p>
      <w:pPr>
        <w:pStyle w:val="Normal"/>
        <w:spacing w:lineRule="auto" w:line="240" w:before="0" w:after="170"/>
        <w:jc w:val="center"/>
        <w:rPr>
          <w:rFonts w:ascii="Roboto" w:hAnsi="Roboto"/>
          <w:color w:val="2B5020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Normal"/>
        <w:spacing w:lineRule="auto" w:line="240" w:before="0" w:after="57"/>
        <w:jc w:val="center"/>
        <w:rPr>
          <w:rFonts w:ascii="Oswald" w:hAnsi="Oswald"/>
          <w:color w:val="2B5020"/>
          <w:sz w:val="24"/>
          <w:szCs w:val="24"/>
        </w:rPr>
      </w:pP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UNIDAD DE OBRA: CUBIERTA 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VEGETAL CON 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APORTE DE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SUSTRATO 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FORMULADO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Y 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ESPECIES SELECCIONADAS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.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SISTEMA 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CÁ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NTIR</w:t>
      </w:r>
    </w:p>
    <w:p>
      <w:pPr>
        <w:pStyle w:val="Cuerpodetexto"/>
        <w:spacing w:lineRule="auto" w:line="240" w:before="0" w:after="170"/>
        <w:ind w:left="709" w:right="0" w:hanging="0"/>
        <w:jc w:val="center"/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1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TECHNICAL SPECIFICATIONS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b w:val="false"/>
          <w:bCs w:val="false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Walkable green roof with specific SG-SCB substrate of variable thickness depending on the selected finish and vegetation finishing through planting or sod of species selected by a SingularGreen technician, Cántir system, with a slope of 1% to 5%.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b w:val="false"/>
          <w:bCs w:val="false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SEPARATING LAYER: SG-GT2 of 200gr/m2.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b w:val="false"/>
          <w:bCs w:val="false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DRAINAGE AND RETENTION LAYER: 20mm thick HDPE nodular drainage sheet with a retention capacity of 6 ltr/m2.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b w:val="false"/>
          <w:bCs w:val="false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SCB-SPECIFIC SUBSTRATE for green roofs with an average thickness of 10 cm to 40 cm depending on the chosen finish type.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b w:val="false"/>
          <w:bCs w:val="false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IRRIGATION SYSTEM SG-R16: consisting of self-compensating irrigation tubing with drippers, including a proportional part of elbows, unions, and distribution tubing.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IRRIGATION CENTRALIZATION SG-A24R: Installation, programming, and fine-tuning of irrigation system with automatic fertilizer dosing and GALCON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GSI, with flow and electrical alerts via email.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EGETATION TERMINATION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Depending on the desired finish, either by planting 25 plants/m² or by using selected turfgrass species installed by a SingularGreen technician.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0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2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APPLICABLE REGULATIONS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*</w:t>
      </w:r>
    </w:p>
    <w:p>
      <w:pPr>
        <w:pStyle w:val="Cuerpodetexto"/>
        <w:widowControl/>
        <w:numPr>
          <w:ilvl w:val="0"/>
          <w:numId w:val="4"/>
        </w:numPr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CTE. DB HS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Health. </w:t>
      </w:r>
    </w:p>
    <w:p>
      <w:pPr>
        <w:pStyle w:val="Cuerpodetexto"/>
        <w:widowControl/>
        <w:numPr>
          <w:ilvl w:val="0"/>
          <w:numId w:val="4"/>
        </w:numPr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CTE. DB SI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Fire Safety. </w:t>
      </w:r>
      <w:r>
        <w:rPr>
          <w:rFonts w:ascii="Roboto" w:hAnsi="Robo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NTE-QAA.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Roofs: Green roofs. </w:t>
      </w:r>
    </w:p>
    <w:p>
      <w:pPr>
        <w:pStyle w:val="Normal"/>
        <w:numPr>
          <w:ilvl w:val="0"/>
          <w:numId w:val="4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NTJ 11C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Green roofs. </w:t>
      </w:r>
    </w:p>
    <w:p>
      <w:pPr>
        <w:pStyle w:val="Cuerpodetexto"/>
        <w:widowControl/>
        <w:spacing w:lineRule="auto" w:line="240" w:before="0" w:after="170"/>
        <w:ind w:left="0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*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This regulation is mandatory in Spain. If the work is to be carried out in another country, please consult the specific regulations of that country.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 </w:t>
      </w:r>
    </w:p>
    <w:p>
      <w:pPr>
        <w:pStyle w:val="Cuerpodetexto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0" w:right="0" w:hanging="0"/>
        <w:jc w:val="both"/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3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MEASUREMENT CRITERIA IN PROJECT</w:t>
      </w:r>
    </w:p>
    <w:p>
      <w:pPr>
        <w:pStyle w:val="Cuerpodetexto"/>
        <w:widowControl/>
        <w:spacing w:lineRule="auto" w:line="240" w:before="0" w:after="170"/>
        <w:ind w:left="0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374151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It will also be checked that the vertical walls of the cofferdams, perimeter walls, and other construction elements are finished. </w:t>
      </w:r>
    </w:p>
    <w:p>
      <w:pPr>
        <w:pStyle w:val="Normal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4.  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PREVIOUS CONDITIONS TO BE FULFILLED BEFORE EXECUTION OF SUPPORT WORK UNITS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4.1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OF THE SUPPORT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It will be verified that the surface of the resistant base is uniform and flat, clean, and free of construction remains.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It will also be checked that the vertical walls of the cofferdams, perimeter walls, and other construction elements are finished.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4.2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ENVIRONMENTAL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Works will be suspended in case of rain, snow or wind speed exceeding 50 km/h, and the application should be carried out under ambient thermal conditions within the prescribed margins in the corresponding application specifications.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4.3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CONTRACTOR'S RESPONSIBILITIES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he adopted construction solution will have received prior acceptance from the manufacturer.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widowControl/>
        <w:spacing w:lineRule="auto" w:line="240" w:before="0" w:after="170"/>
        <w:ind w:left="0" w:right="0" w:hanging="0"/>
        <w:jc w:val="both"/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5.  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PROCE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s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 xml:space="preserve">S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of execution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color w:val="1E6A39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5.1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Measures to ensure compatibility between different products, elements, and construction systems that make up the roof and are independent of the unit of work will be taken into consideration.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Special attention will be paid to the incompa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tibilities of use specified in the technical data sheets of the different elements that may compo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se the other components of the roof and that are not part of this unit of work (resistant support, slope formation, vapor barrier, thermal insulation, waterproofing, and separation layers). </w:t>
      </w:r>
    </w:p>
    <w:p>
      <w:pPr>
        <w:pStyle w:val="Cuerpodetexto"/>
        <w:widowControl/>
        <w:spacing w:lineRule="auto" w:line="240" w:before="0" w:after="170"/>
        <w:ind w:left="0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r>
      <w:r>
        <w:br w:type="page"/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5.2 E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X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ECU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TIO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N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PHASES</w:t>
      </w:r>
    </w:p>
    <w:p>
      <w:pPr>
        <w:pStyle w:val="Cuerpodetexto"/>
        <w:widowControl/>
        <w:numPr>
          <w:ilvl w:val="1"/>
          <w:numId w:val="3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Layout of singular points. </w:t>
      </w:r>
    </w:p>
    <w:p>
      <w:pPr>
        <w:pStyle w:val="Cuerpodetexto"/>
        <w:widowControl/>
        <w:numPr>
          <w:ilvl w:val="1"/>
          <w:numId w:val="3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Cleaning and preparation of the surface. </w:t>
      </w:r>
    </w:p>
    <w:p>
      <w:pPr>
        <w:pStyle w:val="Cuerpodetexto"/>
        <w:widowControl/>
        <w:numPr>
          <w:ilvl w:val="1"/>
          <w:numId w:val="3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waterproofing. </w:t>
      </w:r>
    </w:p>
    <w:p>
      <w:pPr>
        <w:pStyle w:val="Cuerpodetexto"/>
        <w:widowControl/>
        <w:numPr>
          <w:ilvl w:val="1"/>
          <w:numId w:val="3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the separation layer under protection. </w:t>
      </w:r>
    </w:p>
    <w:p>
      <w:pPr>
        <w:pStyle w:val="Cuerpodetexto"/>
        <w:widowControl/>
        <w:numPr>
          <w:ilvl w:val="1"/>
          <w:numId w:val="3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Placement of the drainage and water retention layer.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the filtering layer. 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the substrate. 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Filling the space between the edge of the cover and the vegetation with pebbles.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Vegetation finishing: Planting or sod.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Installation of irrigation. </w:t>
      </w:r>
    </w:p>
    <w:p>
      <w:pPr>
        <w:pStyle w:val="Cuerpodetexto"/>
        <w:widowControl/>
        <w:numPr>
          <w:ilvl w:val="1"/>
          <w:numId w:val="1"/>
        </w:numPr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General checking. </w:t>
      </w:r>
    </w:p>
    <w:p>
      <w:pPr>
        <w:pStyle w:val="Cuerpodetexto"/>
        <w:widowControl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5.3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FINISHING CONDITIONS </w:t>
      </w:r>
    </w:p>
    <w:p>
      <w:pPr>
        <w:pStyle w:val="Cuerpodetexto"/>
        <w:widowControl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The watertight conditions will be basic. </w:t>
      </w:r>
    </w:p>
    <w:p>
      <w:pPr>
        <w:pStyle w:val="Cuerpodetexto"/>
        <w:widowControl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6</w:t>
      </w:r>
      <w:r>
        <w:rPr>
          <w:rFonts w:ascii="Roboto" w:hAnsi="Roboto"/>
          <w:b/>
          <w:bCs/>
          <w:color w:val="2B5020"/>
          <w:sz w:val="22"/>
          <w:szCs w:val="22"/>
        </w:rPr>
        <w:t>.    MEASUREMENT CRITERIA AND PAYMENT CONDITIONS ON-SITE</w:t>
      </w:r>
    </w:p>
    <w:p>
      <w:pPr>
        <w:pStyle w:val="Cuerpodetexto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The surface area actually executed according to the Project specifications will be measured in horizontal projection.</w:t>
      </w:r>
    </w:p>
    <w:p>
      <w:pPr>
        <w:pStyle w:val="Cuerpodetexto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This must include the interior faces of the parapets or perimeter walls that limit said surface. </w:t>
      </w:r>
    </w:p>
    <w:p>
      <w:pPr>
        <w:pStyle w:val="Cuerpodetexto"/>
        <w:spacing w:lineRule="auto" w:line="240" w:before="0" w:after="170"/>
        <w:ind w:left="709" w:right="0" w:hanging="0"/>
        <w:jc w:val="both"/>
        <w:rPr>
          <w:i w:val="false"/>
          <w:caps w:val="false"/>
          <w:smallCaps w:val="false"/>
          <w:color w:val="000000"/>
          <w:spacing w:val="0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The price does not include waterproofing.</w:t>
      </w:r>
    </w:p>
    <w:p>
      <w:pPr>
        <w:pStyle w:val="Cuerpodetexto"/>
        <w:spacing w:lineRule="auto" w:line="240" w:before="0" w:after="170"/>
        <w:ind w:left="709" w:right="0" w:hanging="0"/>
        <w:jc w:val="both"/>
        <w:rPr>
          <w:i w:val="false"/>
          <w:caps w:val="false"/>
          <w:smallCaps w:val="false"/>
          <w:color w:val="000000"/>
          <w:spacing w:val="0"/>
          <w:shd w:fill="auto" w:val="clear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7</w:t>
      </w:r>
      <w:r>
        <w:rPr>
          <w:rFonts w:ascii="Roboto" w:hAnsi="Roboto"/>
          <w:b/>
          <w:bCs/>
          <w:color w:val="2B5020"/>
          <w:sz w:val="22"/>
          <w:szCs w:val="22"/>
        </w:rPr>
        <w:t xml:space="preserve">. 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CONSERVATION AND MAINTENANCE</w:t>
      </w:r>
    </w:p>
    <w:p>
      <w:pPr>
        <w:pStyle w:val="Normal"/>
        <w:spacing w:lineRule="auto" w:line="240" w:before="0" w:after="170"/>
        <w:ind w:left="0" w:right="0" w:hanging="0"/>
        <w:jc w:val="left"/>
        <w:rPr>
          <w:rFonts w:ascii="Roboto" w:hAnsi="Roboto"/>
          <w:b/>
          <w:b/>
          <w:bCs/>
          <w:color w:val="2B5020"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</w:r>
    </w:p>
    <w:p>
      <w:pPr>
        <w:pStyle w:val="Textobase"/>
        <w:numPr>
          <w:ilvl w:val="0"/>
          <w:numId w:val="2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roof will be protected from any mechanical action not foreseen in the calculation until the substrate is placed. </w:t>
      </w:r>
    </w:p>
    <w:p>
      <w:pPr>
        <w:pStyle w:val="Textobase"/>
        <w:numPr>
          <w:ilvl w:val="0"/>
          <w:numId w:val="2"/>
        </w:numPr>
        <w:jc w:val="left"/>
        <w:rPr/>
      </w:pPr>
      <w:r>
        <w:rPr/>
        <w:t>T</w:t>
      </w:r>
      <w:r>
        <w:rPr/>
        <w:t xml:space="preserve">he placement of any element not foreseen in the project that may perforate the waterproofing will be avoided. </w:t>
      </w:r>
    </w:p>
    <w:p>
      <w:pPr>
        <w:pStyle w:val="Textobase"/>
        <w:numPr>
          <w:ilvl w:val="0"/>
          <w:numId w:val="2"/>
        </w:numPr>
        <w:jc w:val="left"/>
        <w:rPr>
          <w:rFonts w:ascii="Roboto" w:hAnsi="Roboto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The dumping of construction waste on the vegetative layer will be avoided.</w:t>
      </w:r>
    </w:p>
    <w:p>
      <w:pPr>
        <w:pStyle w:val="Normal"/>
        <w:tabs>
          <w:tab w:val="clear" w:pos="709"/>
        </w:tabs>
        <w:ind w:left="360" w:right="0" w:hanging="0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2B502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2B5020"/>
          <w:spacing w:val="0"/>
          <w:sz w:val="22"/>
          <w:szCs w:val="22"/>
          <w:shd w:fill="auto" w:val="clear"/>
        </w:rPr>
      </w:r>
    </w:p>
    <w:p>
      <w:pPr>
        <w:pStyle w:val="Normal"/>
        <w:tabs>
          <w:tab w:val="clear" w:pos="709"/>
        </w:tabs>
        <w:ind w:left="360" w:right="0" w:hanging="0"/>
        <w:rPr>
          <w:rFonts w:ascii="Roboto" w:hAnsi="Roboto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Roboto">
    <w:charset w:val="00"/>
    <w:family w:val="auto"/>
    <w:pitch w:val="variable"/>
  </w:font>
  <w:font w:name="Oswald">
    <w:charset w:val="00"/>
    <w:family w:val="auto"/>
    <w:pitch w:val="variable"/>
  </w:font>
  <w:font w:name="Roboto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Oswald" w:hAnsi="Oswald"/>
        <w:color w:val="25281F"/>
        <w:sz w:val="16"/>
        <w:szCs w:val="16"/>
      </w:rPr>
    </w:pPr>
    <w:r>
      <w:rPr>
        <w:rFonts w:ascii="Oswald" w:hAnsi="Oswald"/>
        <w:color w:val="25281F"/>
        <w:sz w:val="16"/>
        <w:szCs w:val="16"/>
      </w:rPr>
    </w:r>
  </w:p>
  <w:p>
    <w:pPr>
      <w:pStyle w:val="Piedepgina"/>
      <w:jc w:val="center"/>
      <w:rPr>
        <w:rFonts w:ascii="Oswald" w:hAnsi="Oswald"/>
        <w:color w:val="25281F"/>
        <w:sz w:val="16"/>
        <w:szCs w:val="16"/>
      </w:rPr>
    </w:pPr>
    <w:r>
      <w:rPr>
        <w:rFonts w:ascii="Oswald" w:hAnsi="Oswald"/>
        <w:color w:val="25281F"/>
        <w:sz w:val="16"/>
        <w:szCs w:val="16"/>
      </w:rPr>
    </w:r>
  </w:p>
  <w:p>
    <w:pPr>
      <w:pStyle w:val="Piedepgina"/>
      <w:jc w:val="center"/>
      <w:rPr>
        <w:rFonts w:ascii="Oswald" w:hAnsi="Oswald"/>
        <w:color w:val="25281F"/>
        <w:sz w:val="16"/>
        <w:szCs w:val="16"/>
      </w:rPr>
    </w:pPr>
    <w:r>
      <w:rPr>
        <w:rFonts w:ascii="Oswald" w:hAnsi="Oswald"/>
        <w:color w:val="25281F"/>
        <w:sz w:val="16"/>
        <w:szCs w:val="16"/>
      </w:rPr>
      <w:t>SINGULARGREEN S.L. - C.I.F. B-54745583 - C/ Francisco Carratalá Cernuda 34, Bajo 1 – 03010 Alicante (España)</w:t>
    </w:r>
  </w:p>
  <w:p>
    <w:pPr>
      <w:pStyle w:val="Normal"/>
      <w:jc w:val="center"/>
      <w:rPr>
        <w:rFonts w:ascii="Oswald" w:hAnsi="Oswald"/>
        <w:color w:val="25281F"/>
        <w:sz w:val="16"/>
        <w:szCs w:val="16"/>
      </w:rPr>
    </w:pPr>
    <w:r>
      <w:rPr>
        <w:rFonts w:ascii="Oswald" w:hAnsi="Oswald"/>
        <w:color w:val="25281F"/>
        <w:sz w:val="16"/>
        <w:szCs w:val="16"/>
      </w:rPr>
      <w:t>Tfnos: (+34) 966 282 640 - (+34) 673 768 624 - info@singulargreen.com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Oswald" w:hAnsi="Oswald"/>
        <w:b w:val="false"/>
        <w:b w:val="false"/>
        <w:bCs w:val="false"/>
        <w:color w:val="2B5020"/>
        <w:sz w:val="20"/>
        <w:szCs w:val="20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bothSides"/>
          <wp:docPr id="1" name="Imagen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uentedeprrafopredeter"/>
        <w:rFonts w:ascii="Oswald" w:hAnsi="Oswald"/>
        <w:b w:val="false"/>
        <w:bCs w:val="false"/>
        <w:color w:val="2B5020"/>
        <w:sz w:val="20"/>
        <w:szCs w:val="20"/>
      </w:rPr>
      <w:t>SPECIFICATIONS</w:t>
    </w:r>
  </w:p>
  <w:p>
    <w:pPr>
      <w:pStyle w:val="Normal"/>
      <w:jc w:val="right"/>
      <w:rPr/>
    </w:pPr>
    <w:r>
      <w:rPr>
        <w:rStyle w:val="Fuentedeprrafopredeter"/>
        <w:rFonts w:ascii="Oswald" w:hAnsi="Oswald"/>
        <w:color w:val="2B5020"/>
        <w:sz w:val="16"/>
        <w:szCs w:val="16"/>
      </w:rPr>
      <w:t xml:space="preserve"> </w:t>
    </w:r>
    <w:r>
      <w:rPr>
        <w:rStyle w:val="Fuentedeprrafopredeter"/>
        <w:rFonts w:ascii="Oswald" w:hAnsi="Oswald"/>
        <w:color w:val="2B5020"/>
        <w:sz w:val="16"/>
        <w:szCs w:val="16"/>
      </w:rPr>
      <w:t xml:space="preserve">CÁNTIR </w:t>
    </w:r>
    <w:r>
      <w:rPr>
        <w:rStyle w:val="Fuentedeprrafopredeter"/>
        <w:rFonts w:ascii="Oswald" w:hAnsi="Oswald"/>
        <w:color w:val="2B5020"/>
        <w:sz w:val="16"/>
        <w:szCs w:val="16"/>
      </w:rPr>
      <w:t>SYSTEM</w:t>
    </w:r>
  </w:p>
  <w:p>
    <w:pPr>
      <w:pStyle w:val="Normal"/>
      <w:jc w:val="right"/>
      <w:rPr>
        <w:rFonts w:ascii="Oswald" w:hAnsi="Oswald"/>
        <w:color w:val="2B5020"/>
        <w:sz w:val="16"/>
        <w:szCs w:val="16"/>
      </w:rPr>
    </w:pPr>
    <w:r>
      <w:rPr/>
    </w:r>
  </w:p>
  <w:p>
    <w:pPr>
      <w:pStyle w:val="Normal"/>
      <w:jc w:val="right"/>
      <w:rPr>
        <w:rFonts w:ascii="Oswald" w:hAnsi="Oswald"/>
        <w:color w:val="2B5020"/>
        <w:sz w:val="16"/>
        <w:szCs w:val="16"/>
      </w:rPr>
    </w:pPr>
    <w:r>
      <w:rPr/>
    </w:r>
  </w:p>
  <w:p>
    <w:pPr>
      <w:pStyle w:val="Normal"/>
      <w:jc w:val="right"/>
      <w:rPr>
        <w:rFonts w:ascii="Oswald" w:hAnsi="Oswald"/>
        <w:color w:val="2B5020"/>
        <w:sz w:val="16"/>
        <w:szCs w:val="16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character" w:styleId="Fuentedeprrafopredeter">
    <w:name w:val="Fuente de párrafo predeter."/>
    <w:qFormat/>
    <w:rPr/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Symbol" w:hAnsi="Symbol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Encabezado">
    <w:name w:val="Encabezado"/>
    <w:basedOn w:val="Cabeceraypie"/>
    <w:qFormat/>
    <w:pPr>
      <w:suppressAutoHyphens w:val="true"/>
    </w:pPr>
    <w:rPr/>
  </w:style>
  <w:style w:type="paragraph" w:styleId="Piedepgina">
    <w:name w:val="Footer"/>
    <w:basedOn w:val="Cabeceraypie"/>
    <w:pPr>
      <w:suppressAutoHyphens w:val="true"/>
    </w:pPr>
    <w:rPr/>
  </w:style>
  <w:style w:type="paragraph" w:styleId="Prrafodelista">
    <w:name w:val="Párrafo de lista"/>
    <w:basedOn w:val="Normal1"/>
    <w:qFormat/>
    <w:pPr>
      <w:tabs>
        <w:tab w:val="clear" w:pos="709"/>
      </w:tabs>
      <w:suppressAutoHyphens w:val="true"/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Cabecera">
    <w:name w:val="Header"/>
    <w:basedOn w:val="Cabeceraypie"/>
    <w:pPr>
      <w:suppressLineNumbers/>
    </w:pPr>
    <w:rPr/>
  </w:style>
  <w:style w:type="paragraph" w:styleId="Textobase">
    <w:name w:val="texto base"/>
    <w:basedOn w:val="Cuerpodetexto"/>
    <w:qFormat/>
    <w:pPr>
      <w:widowControl/>
      <w:spacing w:lineRule="auto" w:line="240" w:before="0" w:after="170"/>
      <w:jc w:val="both"/>
    </w:pPr>
    <w:rPr>
      <w:rFonts w:ascii="Roboto" w:hAnsi="Roboto"/>
      <w:b w:val="false"/>
      <w:i w:val="false"/>
      <w:caps w:val="false"/>
      <w:smallCaps w:val="false"/>
      <w:color w:val="000000"/>
      <w:spacing w:val="0"/>
      <w:sz w:val="22"/>
      <w:szCs w:val="22"/>
      <w:shd w:fill="auto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937</TotalTime>
  <Application>LibreOffice/7.4.5.1$Windows_X86_64 LibreOffice_project/9c0871452b3918c1019dde9bfac75448afc4b57f</Application>
  <AppVersion>15.0000</AppVersion>
  <Pages>3</Pages>
  <Words>662</Words>
  <Characters>3706</Characters>
  <CharactersWithSpaces>4346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2021-12-02T09:54:00Z</dcterms:created>
  <dc:creator/>
  <dc:description/>
  <dc:language>es-ES</dc:language>
  <cp:lastModifiedBy/>
  <dcterms:modified xsi:type="dcterms:W3CDTF">2023-03-23T14:20:21Z</dcterms:modified>
  <cp:revision>12</cp:revision>
  <dc:subject/>
  <dc:title/>
</cp:coreProperties>
</file>