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</w:r>
    </w:p>
    <w:p>
      <w:pPr>
        <w:pStyle w:val="Normal"/>
        <w:bidi w:val="0"/>
        <w:jc w:val="center"/>
        <w:rPr>
          <w:rFonts w:ascii="Oswald" w:hAnsi="Oswald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Oswald" w:hAnsi="Oswald"/>
          <w:b w:val="false"/>
          <w:bCs w:val="false"/>
          <w:color w:val="2B5020"/>
          <w:sz w:val="22"/>
          <w:szCs w:val="22"/>
        </w:rPr>
        <w:t xml:space="preserve">PLIEGO DE CONDICIONES SISTEMA </w:t>
      </w:r>
      <w:r>
        <w:rPr>
          <w:rFonts w:ascii="Oswald" w:hAnsi="Oswald"/>
          <w:b w:val="false"/>
          <w:bCs w:val="false"/>
          <w:color w:val="2B5020"/>
          <w:sz w:val="22"/>
          <w:szCs w:val="22"/>
        </w:rPr>
        <w:t>F+P COLD</w:t>
      </w:r>
    </w:p>
    <w:p>
      <w:pPr>
        <w:pStyle w:val="Normal"/>
        <w:bidi w:val="0"/>
        <w:jc w:val="center"/>
        <w:rPr>
          <w:rFonts w:ascii="Oswald" w:hAnsi="Oswald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Oswald" w:hAnsi="Oswald"/>
          <w:b w:val="false"/>
          <w:bCs w:val="false"/>
          <w:color w:val="2B5020"/>
          <w:sz w:val="22"/>
          <w:szCs w:val="22"/>
        </w:rPr>
        <w:t>PRESCRIPCIONES EN CUANTO A LA EJECUCIÓN POR UNIDAD DE OBRA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</w:r>
    </w:p>
    <w:p>
      <w:pPr>
        <w:pStyle w:val="Normal"/>
        <w:tabs>
          <w:tab w:val="clear" w:pos="709"/>
        </w:tabs>
        <w:bidi w:val="0"/>
        <w:ind w:left="737" w:right="0" w:hanging="34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>1</w:t>
      </w:r>
      <w:r>
        <w:rPr>
          <w:rFonts w:ascii="Roboto" w:hAnsi="Roboto"/>
          <w:b w:val="false"/>
          <w:bCs w:val="false"/>
          <w:color w:val="2B5020"/>
          <w:sz w:val="22"/>
          <w:szCs w:val="22"/>
        </w:rPr>
        <w:t xml:space="preserve">. </w:t>
        <w:tab/>
        <w:t xml:space="preserve">Normativa </w:t>
      </w: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>DE APLICACIÓN.</w:t>
      </w:r>
    </w:p>
    <w:p>
      <w:pPr>
        <w:pStyle w:val="Normal"/>
        <w:tabs>
          <w:tab w:val="clear" w:pos="709"/>
        </w:tabs>
        <w:bidi w:val="0"/>
        <w:ind w:left="737" w:right="0" w:hanging="340"/>
        <w:jc w:val="left"/>
        <w:rPr>
          <w:rFonts w:ascii="Roboto" w:hAnsi="Roboto"/>
          <w:b w:val="false"/>
          <w:b w:val="false"/>
          <w:bCs w:val="false"/>
          <w:caps w:val="false"/>
          <w:smallCaps w:val="false"/>
          <w:sz w:val="22"/>
          <w:szCs w:val="22"/>
        </w:rPr>
      </w:pPr>
      <w:r>
        <w:rPr>
          <w:rFonts w:ascii="Roboto" w:hAnsi="Roboto"/>
          <w:b w:val="false"/>
          <w:bCs w:val="false"/>
          <w:caps w:val="false"/>
          <w:smallCap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CTE. DB HS Salubridad.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CTE. DB SI Seguridad en caso de incendio.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Roboto" w:hAnsi="Roboto"/>
          <w:b w:val="false"/>
          <w:b w:val="false"/>
          <w:bCs w:val="false"/>
          <w:color w:val="25281F"/>
          <w:sz w:val="22"/>
          <w:szCs w:val="22"/>
        </w:rPr>
      </w:pPr>
      <w:r>
        <w:rPr>
          <w:rFonts w:ascii="Roboto" w:hAnsi="Roboto"/>
          <w:b w:val="false"/>
          <w:bCs w:val="false"/>
          <w:color w:val="25281F"/>
          <w:sz w:val="22"/>
          <w:szCs w:val="22"/>
        </w:rPr>
        <w:t>CTE. DB-HE Ahorro de energía.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25281F"/>
          <w:sz w:val="22"/>
          <w:szCs w:val="22"/>
          <w:u w:val="none"/>
          <w:effect w:val="none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25281F"/>
          <w:sz w:val="22"/>
          <w:szCs w:val="22"/>
          <w:u w:val="none"/>
          <w:effect w:val="none"/>
        </w:rPr>
        <w:t>NTJ 11V. Ajardinamientos verticales.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397" w:right="0" w:hanging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>2</w:t>
      </w:r>
      <w:r>
        <w:rPr>
          <w:rFonts w:ascii="Roboto" w:hAnsi="Roboto"/>
          <w:b w:val="false"/>
          <w:bCs w:val="false"/>
          <w:color w:val="2B5020"/>
          <w:sz w:val="22"/>
          <w:szCs w:val="22"/>
        </w:rPr>
        <w:t>.   Criterio de medición en proyecto.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Superficie medida según documentación gráfica de proyecto, sin duplicar esquinas ni encuentros, deduciendo los huecos de superficie mayor de 5 m².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ind w:left="0" w:right="0" w:firstLine="397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>3</w:t>
      </w: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 xml:space="preserve">.   </w:t>
      </w:r>
      <w:r>
        <w:rPr>
          <w:rFonts w:ascii="Roboto" w:hAnsi="Roboto"/>
          <w:b w:val="false"/>
          <w:bCs w:val="false"/>
          <w:color w:val="2B5020"/>
          <w:sz w:val="22"/>
          <w:szCs w:val="22"/>
        </w:rPr>
        <w:t>C</w:t>
      </w: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>ONDICIONES PREVIAS QUE HAN DE CUMPLIRSE ANTES DE LA EJECUCIÓN DE LAS UNIDADES DE O</w:t>
      </w: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>BRA</w:t>
      </w: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>.</w:t>
      </w:r>
    </w:p>
    <w:p>
      <w:pPr>
        <w:pStyle w:val="Normal"/>
        <w:bidi w:val="0"/>
        <w:ind w:left="0" w:right="0" w:firstLine="397"/>
        <w:jc w:val="left"/>
        <w:rPr>
          <w:rFonts w:ascii="Roboto" w:hAnsi="Roboto"/>
          <w:b w:val="false"/>
          <w:b w:val="false"/>
          <w:bCs w:val="false"/>
          <w:caps w:val="false"/>
          <w:smallCap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DEL SOPORTE: 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aps w:val="false"/>
          <w:smallCaps w:val="false"/>
          <w:sz w:val="22"/>
          <w:szCs w:val="22"/>
        </w:rPr>
      </w:pPr>
      <w:r>
        <w:rPr>
          <w:rFonts w:ascii="Roboto" w:hAnsi="Roboto"/>
          <w:b w:val="false"/>
          <w:bCs w:val="false"/>
          <w:caps w:val="false"/>
          <w:smallCap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comprobará que la estructura portante presenta aplomado, planeidad y ver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calidad adecuadas.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Cuando el soporte sea de hormigón, hormigón celular, mortero de cemento o mortero de áridos ligeros, su superficie deberá estar fraguada y seca, sin huecos ni resaltes mayores que el 20% del espesor de la membrana impermeabilizante.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Antes de comenzar los trabajos deben ser instalados los elementos de recogida de aguas y de desagüe.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En soportes cuya sensibilidad a la humedad sea especialmente alta se podrá aplicar una protección con una impermeabilización con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nua adicional.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DE LA INSTALACIÓN: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comprobará que la existencia de los siguientes servicios: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Toma de agua en el lugar de montaje del sistema de riego.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Conducción agua polie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leno 32 mm hasta pie de jardín ver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cal.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Lugar protegido para instalación de aparatos control.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Canalización de lixiviados.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Iluminación ar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ficial (jardines ver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cales interiores).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ind w:left="0" w:right="0" w:firstLine="454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>4</w:t>
      </w: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 xml:space="preserve">.   </w:t>
      </w:r>
      <w:r>
        <w:rPr>
          <w:rFonts w:ascii="Roboto" w:hAnsi="Roboto"/>
          <w:b w:val="false"/>
          <w:bCs w:val="false"/>
          <w:color w:val="2B5020"/>
          <w:sz w:val="22"/>
          <w:szCs w:val="22"/>
        </w:rPr>
        <w:t>P</w:t>
      </w:r>
      <w:r>
        <w:rPr>
          <w:rFonts w:ascii="Roboto" w:hAnsi="Roboto"/>
          <w:b w:val="false"/>
          <w:bCs w:val="false"/>
          <w:caps w:val="false"/>
          <w:smallCaps w:val="false"/>
          <w:color w:val="2B5020"/>
          <w:sz w:val="22"/>
          <w:szCs w:val="22"/>
        </w:rPr>
        <w:t>ROCESO DE EJECUCIÓN.</w:t>
      </w:r>
    </w:p>
    <w:p>
      <w:pPr>
        <w:pStyle w:val="Normal"/>
        <w:bidi w:val="0"/>
        <w:ind w:left="0" w:right="0" w:firstLine="454"/>
        <w:jc w:val="left"/>
        <w:rPr>
          <w:rFonts w:ascii="Roboto" w:hAnsi="Roboto"/>
          <w:b w:val="false"/>
          <w:b w:val="false"/>
          <w:bCs w:val="false"/>
          <w:caps w:val="false"/>
          <w:smallCaps w:val="false"/>
          <w:sz w:val="22"/>
          <w:szCs w:val="22"/>
        </w:rPr>
      </w:pPr>
      <w:r>
        <w:rPr>
          <w:rFonts w:ascii="Roboto" w:hAnsi="Roboto"/>
          <w:b w:val="false"/>
          <w:bCs w:val="false"/>
          <w:caps w:val="false"/>
          <w:smallCap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</w:r>
      <w:r>
        <w:rPr>
          <w:rFonts w:ascii="Roboto" w:hAnsi="Roboto"/>
          <w:b w:val="false"/>
          <w:bCs w:val="false"/>
          <w:sz w:val="22"/>
          <w:szCs w:val="22"/>
        </w:rPr>
        <w:t>4</w:t>
      </w:r>
      <w:r>
        <w:rPr>
          <w:rFonts w:ascii="Roboto" w:hAnsi="Roboto"/>
          <w:b w:val="false"/>
          <w:bCs w:val="false"/>
          <w:sz w:val="22"/>
          <w:szCs w:val="22"/>
        </w:rPr>
        <w:t xml:space="preserve">.1. </w:t>
      </w:r>
      <w:r>
        <w:rPr>
          <w:rFonts w:ascii="Roboto" w:hAnsi="Roboto"/>
          <w:b w:val="false"/>
          <w:bCs w:val="false"/>
          <w:sz w:val="22"/>
          <w:szCs w:val="22"/>
        </w:rPr>
        <w:t>Fases de ejecución:</w:t>
      </w:r>
    </w:p>
    <w:p>
      <w:pPr>
        <w:pStyle w:val="Normal"/>
        <w:bidi w:val="0"/>
        <w:ind w:left="0" w:right="0" w:firstLine="454"/>
        <w:jc w:val="left"/>
        <w:rPr>
          <w:rFonts w:ascii="Roboto" w:hAnsi="Roboto"/>
          <w:b w:val="false"/>
          <w:b w:val="false"/>
          <w:bCs w:val="false"/>
          <w:caps w:val="false"/>
          <w:smallCaps w:val="false"/>
          <w:sz w:val="22"/>
          <w:szCs w:val="22"/>
        </w:rPr>
      </w:pPr>
      <w:r>
        <w:rPr>
          <w:rFonts w:ascii="Roboto" w:hAnsi="Roboto"/>
          <w:b w:val="false"/>
          <w:bCs w:val="false"/>
          <w:caps w:val="false"/>
          <w:smallCap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Replanteo de los paneles.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Colocación del remate inferior de la fachada.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Colocación y fijación de la subestructura soporte.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Colocación y fijación de paneles.</w:t>
      </w:r>
    </w:p>
    <w:p>
      <w:pPr>
        <w:pStyle w:val="Normal"/>
        <w:numPr>
          <w:ilvl w:val="0"/>
          <w:numId w:val="0"/>
        </w:numPr>
        <w:bidi w:val="0"/>
        <w:ind w:left="1080" w:hanging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Sellado entre paneles.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Instalación del sistema de riego.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Realización de pruebas de servicio.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Remates.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Colocación de la planta.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Realización final de pruebas de servicio.</w:t>
      </w:r>
    </w:p>
    <w:p>
      <w:pPr>
        <w:pStyle w:val="Normal"/>
        <w:numPr>
          <w:ilvl w:val="0"/>
          <w:numId w:val="0"/>
        </w:numPr>
        <w:bidi w:val="0"/>
        <w:ind w:left="1080" w:hanging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>4.2. Panel Impermeable SG-P</w:t>
      </w:r>
      <w:r>
        <w:rPr>
          <w:rFonts w:ascii="Roboto" w:hAnsi="Roboto"/>
          <w:b w:val="false"/>
          <w:bCs w:val="false"/>
          <w:sz w:val="22"/>
          <w:szCs w:val="22"/>
        </w:rPr>
        <w:t>35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preparará un rastrelado ver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cal mediante perfiles de aluminio con una separación entre ellos de 30 cm. que se fijarán al paramento existente mediante la tornillería idónea al material, resistencia de la pared a ocupar y a las solicitaciones previstas.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En caso de exis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r elementos en la pared que necesiten ser salvados por el rastrelado será necesario la instalación de ménsulas de anclaje de acero inoxidable previas.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panel SG‐P</w:t>
      </w:r>
      <w:r>
        <w:rPr>
          <w:rFonts w:ascii="Roboto" w:hAnsi="Roboto"/>
          <w:b w:val="false"/>
          <w:bCs w:val="false"/>
          <w:sz w:val="22"/>
          <w:szCs w:val="22"/>
        </w:rPr>
        <w:t xml:space="preserve">35 </w:t>
      </w:r>
      <w:r>
        <w:rPr>
          <w:rFonts w:ascii="Roboto" w:hAnsi="Roboto"/>
          <w:b w:val="false"/>
          <w:bCs w:val="false"/>
          <w:sz w:val="22"/>
          <w:szCs w:val="22"/>
        </w:rPr>
        <w:t>se fijará a los perfiles metálicos mediante tornillería.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Las juntas de unión entre los paneles SG‐P</w:t>
      </w:r>
      <w:r>
        <w:rPr>
          <w:rFonts w:ascii="Roboto" w:hAnsi="Roboto"/>
          <w:b w:val="false"/>
          <w:bCs w:val="false"/>
          <w:sz w:val="22"/>
          <w:szCs w:val="22"/>
        </w:rPr>
        <w:t xml:space="preserve">35 </w:t>
      </w:r>
      <w:r>
        <w:rPr>
          <w:rFonts w:ascii="Roboto" w:hAnsi="Roboto"/>
          <w:b w:val="false"/>
          <w:bCs w:val="false"/>
          <w:sz w:val="22"/>
          <w:szCs w:val="22"/>
        </w:rPr>
        <w:t>se rellenarán y sellarán mediante silicona de poliuretano.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 xml:space="preserve">4.3. </w:t>
      </w:r>
      <w:r>
        <w:rPr>
          <w:rFonts w:ascii="Roboto" w:hAnsi="Roboto"/>
          <w:b w:val="false"/>
          <w:bCs w:val="false"/>
          <w:sz w:val="22"/>
          <w:szCs w:val="22"/>
        </w:rPr>
        <w:t xml:space="preserve">Sustrato </w:t>
      </w:r>
      <w:r>
        <w:rPr>
          <w:rFonts w:ascii="Roboto" w:hAnsi="Roboto"/>
          <w:b w:val="false"/>
          <w:bCs w:val="false"/>
          <w:sz w:val="22"/>
          <w:szCs w:val="22"/>
        </w:rPr>
        <w:t>SG‐</w:t>
      </w:r>
      <w:r>
        <w:rPr>
          <w:rFonts w:ascii="Roboto" w:hAnsi="Roboto"/>
          <w:b w:val="false"/>
          <w:bCs w:val="false"/>
          <w:sz w:val="22"/>
          <w:szCs w:val="22"/>
        </w:rPr>
        <w:t>L40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Se instalará  el panel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25281F"/>
          <w:sz w:val="22"/>
          <w:szCs w:val="22"/>
          <w:u w:val="none"/>
          <w:effect w:val="none"/>
        </w:rPr>
        <w:t xml:space="preserve">SG-L40 de sustrato inerte, específico para jardinería vertical hidropónica fijados mecánicamente al panel impermeable de soporte SG-P35 </w:t>
      </w:r>
      <w:r>
        <w:rPr>
          <w:rFonts w:ascii="Roboto" w:hAnsi="Roboto"/>
          <w:b w:val="false"/>
          <w:bCs w:val="false"/>
          <w:color w:val="25281F"/>
          <w:sz w:val="22"/>
          <w:szCs w:val="22"/>
        </w:rPr>
        <w:t xml:space="preserve"> ancla</w:t>
      </w:r>
      <w:r>
        <w:rPr>
          <w:rFonts w:ascii="Roboto" w:hAnsi="Roboto"/>
          <w:b w:val="false"/>
          <w:bCs w:val="false"/>
          <w:sz w:val="22"/>
          <w:szCs w:val="22"/>
        </w:rPr>
        <w:t>do mediante tornillería a la pared de soporte.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>4.4.Colocación de la planta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5281F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25281F"/>
          <w:sz w:val="22"/>
          <w:szCs w:val="22"/>
          <w:u w:val="none"/>
          <w:effect w:val="none"/>
        </w:rPr>
        <w:t>La terminación vegetal se realiza mediante plantación de las especies vegetales seleccionadas, a razón de entre 20 a 40 uds/m²,</w:t>
      </w:r>
      <w:r>
        <w:rPr>
          <w:rFonts w:ascii="Roboto" w:hAnsi="Roboto"/>
          <w:b w:val="false"/>
          <w:bCs w:val="false"/>
          <w:caps w:val="false"/>
          <w:smallCaps w:val="false"/>
          <w:strike w:val="false"/>
          <w:dstrike w:val="false"/>
          <w:color w:val="25281F"/>
          <w:sz w:val="22"/>
          <w:szCs w:val="22"/>
          <w:u w:val="none"/>
          <w:effect w:val="none"/>
        </w:rPr>
        <w:t xml:space="preserve">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25281F"/>
          <w:sz w:val="22"/>
          <w:szCs w:val="22"/>
          <w:u w:val="none"/>
          <w:effect w:val="none"/>
        </w:rPr>
        <w:t>en los agujeros existentes en el sustrato.</w:t>
      </w:r>
      <w:r>
        <w:rPr>
          <w:rFonts w:ascii="Roboto" w:hAnsi="Roboto"/>
          <w:b w:val="false"/>
          <w:bCs w:val="false"/>
          <w:caps w:val="false"/>
          <w:smallCaps w:val="false"/>
          <w:strike w:val="false"/>
          <w:dstrike w:val="false"/>
          <w:color w:val="25281F"/>
          <w:sz w:val="22"/>
          <w:szCs w:val="22"/>
          <w:u w:val="none"/>
          <w:effect w:val="none"/>
        </w:rPr>
        <w:t xml:space="preserve"> 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La selección de plantas vendrá condicionada por el clima de la zona, la orientación de la fachada y la exposición al viento.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</w:r>
      <w:r>
        <w:rPr>
          <w:rFonts w:ascii="Roboto" w:hAnsi="Roboto"/>
          <w:b w:val="false"/>
          <w:bCs w:val="false"/>
          <w:color w:val="2B5020"/>
          <w:sz w:val="22"/>
          <w:szCs w:val="22"/>
        </w:rPr>
        <w:t>5. Condiciones de seguridad.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Se suspenderán los trabajos cuando exista lluvia, nieve o viento superior a 50 km/h; en este último caso se retirarán los materiales y herramientas que puedan desplazarse.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No se trabajará en la proximidad de líneas eléctricas de alta tensión.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cumplirán además todas las disposiciones generales de Seguridad e Higiene en el Trabajo, así como las Ordenanzas Municipales que sean de aplicación.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tendrá especial cuidado en el apoyo de la base de las escaleras dispuestas para el acceso a la cubierta, que además no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deben empalmarse.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u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lizará ropa adecuada al trabajo y a las condiciones climatológicas. El calzado deberá carecer de partes metálicas, para lograr un correcto aislamiento eléctrico.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deberán disponer durante el montaje protecciones en los aleros o bien redes de seguridad.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Los trabajadores expuestos deberán asegurarse con protecciones individuales adecuadas a cada situación.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ab/>
        <w:t>6. Control de ejecución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control de la ejecución de las obras se realizará de acuerdo con las especificaciones del proyecto, sus anejos y modificaciones autorizadas por la DF y las instrucciones del director de la ejecución de la obra, conforme a lo indicado en el articulo 7.3 de la parte I del CTE y demás normativa vigente de aplicación.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Los puntos de control más destacables son los siguientes: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comprobará que se han adoptado las medidas necesarias para asegurar la compatibilidad entre los diferentes productos, elementos y sistemas constructivos.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Comprobación del replanteo de la planta y del alzado de los cerramientos.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Inspección antes, durante y después de la ejecución, de las paredes de carga que sustentan el sistema </w:t>
      </w:r>
      <w:r>
        <w:rPr>
          <w:rFonts w:ascii="Roboto" w:hAnsi="Roboto"/>
          <w:b w:val="false"/>
          <w:bCs w:val="false"/>
          <w:sz w:val="22"/>
          <w:szCs w:val="22"/>
        </w:rPr>
        <w:t xml:space="preserve">F+P Cold </w:t>
      </w:r>
      <w:r>
        <w:rPr>
          <w:rFonts w:ascii="Roboto" w:hAnsi="Roboto"/>
          <w:b w:val="false"/>
          <w:bCs w:val="false"/>
          <w:sz w:val="22"/>
          <w:szCs w:val="22"/>
        </w:rPr>
        <w:t>en los siguientes puntos: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ab/>
        <w:t>- Colocación de las miras en las esquinas y tendido del hilo entre miras.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ab/>
        <w:t>- Humedad de las piezas cerámicas en la parte inferior para control de</w:t>
        <w:tab/>
        <w:tab/>
        <w:t xml:space="preserve">  </w:t>
        <w:tab/>
        <w:tab/>
        <w:t xml:space="preserve">  fugas.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ab/>
        <w:t>- Aberturas.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ab/>
        <w:t>- Prueba de impermeabilización mediante el propio riego del sistema.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ab/>
        <w:t>- Toma de coordenadas y cotas de todas las paredes.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ab/>
        <w:tab/>
        <w:t>- Repaso de las juntas y limpieza del paramento.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ab/>
        <w:t xml:space="preserve">7. Control de ejecución: interpretación de resultados y actuaciones en caso de </w:t>
        <w:tab/>
      </w:r>
      <w:r>
        <w:rPr>
          <w:rFonts w:ascii="Roboto" w:hAnsi="Roboto"/>
          <w:b w:val="false"/>
          <w:bCs w:val="false"/>
          <w:color w:val="2B5020"/>
          <w:sz w:val="22"/>
          <w:szCs w:val="22"/>
        </w:rPr>
        <w:t>i</w:t>
      </w:r>
      <w:r>
        <w:rPr>
          <w:rFonts w:ascii="Roboto" w:hAnsi="Roboto"/>
          <w:b w:val="false"/>
          <w:bCs w:val="false"/>
          <w:color w:val="2B5020"/>
          <w:sz w:val="22"/>
          <w:szCs w:val="22"/>
        </w:rPr>
        <w:t>ncumplimiento.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No se permitirá la continuación de los trabajos hasta que no estén solucionados los defectos de ejecución.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Cuando se observen irregularidades de replanteo, se corregirán antes de levantar el muro.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ab/>
        <w:t>8. Control de la obra acabada: operaciones de control.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Los puntos de control más destacables son los siguientes: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Inspección visual de la unidad acabada.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Inspección completa del sistema de riego.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En el control se seguirán los criterios indicados en el articulo 7.4 de la parte I del CTE.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ab/>
        <w:t xml:space="preserve">9. Condiciones de terminación. 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conjunto será resistente y estable frente a las acciones, tanto exteriores como provocadas por el propio edificio.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La fachada será estanca y tendrá buen aspecto.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sistema de riego estará operativo y en funcionamiento.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ab/>
        <w:t>10. Criterio de medición en obra y condiciones de abono.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medirá la superficie realmente ejecutada según especificaciones de Proyecto, sin duplicar esquinas ni encuentros, deduciendo los huecos de superficie mayor de 5 m².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color w:val="2B5020"/>
          <w:sz w:val="22"/>
          <w:szCs w:val="22"/>
        </w:rPr>
      </w:pPr>
      <w:r>
        <w:rPr>
          <w:rFonts w:ascii="Roboto" w:hAnsi="Roboto"/>
          <w:b w:val="false"/>
          <w:bCs w:val="false"/>
          <w:color w:val="2B5020"/>
          <w:sz w:val="22"/>
          <w:szCs w:val="22"/>
        </w:rPr>
        <w:tab/>
        <w:t xml:space="preserve">11. Conservación y mantenimiento. Consideraciones </w:t>
      </w:r>
      <w:r>
        <w:rPr>
          <w:rFonts w:ascii="Roboto" w:hAnsi="Roboto"/>
          <w:b w:val="false"/>
          <w:bCs w:val="false"/>
          <w:color w:val="2B5020"/>
          <w:sz w:val="22"/>
          <w:szCs w:val="22"/>
        </w:rPr>
        <w:t>generales.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protegerá durante las operaciones que pudieran ocasionarle manchas o daños mecánicos.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evitará la actuación sobre el elemento de acciones mecánicas no previstas en el cálculo.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Eliminación de los materiales acumulados por el viento y cualquier posible vegetación.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Conservación en estado óp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mo de los elementos existentes en el sistema.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En caso de ser observado algún defecto de impermeabilización, deberá ser reparado por personal especializado, con materiales análogos a los empleados en la construcción original.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No se recibirán sobre la fachada elementos que perforen el panel, dificulten el desagüe o perjudiquen el crecimiento de las plantas.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Una vez totalmente enraizado el sistema, las proporciones de fer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rrigación se llevan al mínimo necesario para crecimiento vegeta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vo aplazando lo máximo posible los periodos entre podas, espaciándose aproximadamente el periodo de entre 12 y 24 meses.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control de fer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rrigación es totalmente automá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co y autónomo de manera que el mantenimiento consta de la revisión periódica de las instalaciones así como el rellenado de los depósitos de fer</w:t>
      </w:r>
      <w:r>
        <w:rPr>
          <w:rFonts w:ascii="Roboto" w:hAnsi="Roboto"/>
          <w:b w:val="false"/>
          <w:bCs w:val="false"/>
          <w:sz w:val="22"/>
          <w:szCs w:val="22"/>
        </w:rPr>
        <w:t>ti</w:t>
      </w:r>
      <w:r>
        <w:rPr>
          <w:rFonts w:ascii="Roboto" w:hAnsi="Roboto"/>
          <w:b w:val="false"/>
          <w:bCs w:val="false"/>
          <w:sz w:val="22"/>
          <w:szCs w:val="22"/>
        </w:rPr>
        <w:t>lizante, ácido y base.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control de riego incorporado en el sistema de hidroponía SG-A24 provee alarmas de control de caudal, es fundamental atender estas alarmas en un plazo máximo de 24h.</w:t>
      </w:r>
    </w:p>
    <w:p>
      <w:pPr>
        <w:pStyle w:val="Normal"/>
        <w:numPr>
          <w:ilvl w:val="0"/>
          <w:numId w:val="10"/>
        </w:numPr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Estos trabajos a futuro no necesariamente han de ser contratados a SingularGreen siendo el promotor del mismo al encargado de proporcionarlos siguiendo las directrices de los sistemas de SingularGreen.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ind w:left="0" w:right="0" w:firstLine="454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891" w:footer="1134" w:bottom="189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oboto">
    <w:charset w:val="00"/>
    <w:family w:val="auto"/>
    <w:pitch w:val="variable"/>
  </w:font>
  <w:font w:name="Oswald">
    <w:charset w:val="00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>SINGULARGREEN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 S.L. - C.I.F. B-54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745583 - C/ Francisco Carratalá Cernuda 34, Bajo 1 – 03010 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Alicante </w:t>
    </w:r>
    <w:r>
      <w:rPr>
        <w:rFonts w:ascii="Oswald" w:hAnsi="Oswald"/>
        <w:b w:val="false"/>
        <w:bCs w:val="false"/>
        <w:color w:val="25281F"/>
        <w:sz w:val="16"/>
        <w:szCs w:val="16"/>
      </w:rPr>
      <w:t>(España)</w:t>
    </w:r>
  </w:p>
  <w:p>
    <w:pPr>
      <w:pStyle w:val="Normal"/>
      <w:pBdr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 xml:space="preserve">Tfnos: (+34) </w:t>
    </w:r>
    <w:r>
      <w:rPr>
        <w:rFonts w:ascii="Oswald" w:hAnsi="Oswald"/>
        <w:b w:val="false"/>
        <w:bCs w:val="false"/>
        <w:color w:val="25281F"/>
        <w:sz w:val="16"/>
        <w:szCs w:val="16"/>
      </w:rPr>
      <w:t>966 282 640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 - (+34) 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673 768 624 </w:t>
    </w:r>
    <w:r>
      <w:rPr>
        <w:rFonts w:ascii="Oswald" w:hAnsi="Oswald"/>
        <w:b w:val="false"/>
        <w:bCs w:val="false"/>
        <w:color w:val="25281F"/>
        <w:sz w:val="16"/>
        <w:szCs w:val="16"/>
      </w:rPr>
      <w:t>- info@</w:t>
    </w:r>
    <w:r>
      <w:rPr>
        <w:rFonts w:ascii="Oswald" w:hAnsi="Oswald"/>
        <w:b w:val="false"/>
        <w:bCs w:val="false"/>
        <w:color w:val="25281F"/>
        <w:sz w:val="16"/>
        <w:szCs w:val="16"/>
      </w:rPr>
      <w:t>singular</w:t>
    </w:r>
    <w:r>
      <w:rPr>
        <w:rFonts w:ascii="Oswald" w:hAnsi="Oswald"/>
        <w:b w:val="false"/>
        <w:bCs w:val="false"/>
        <w:color w:val="25281F"/>
        <w:sz w:val="16"/>
        <w:szCs w:val="16"/>
      </w:rPr>
      <w:t>green.com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right"/>
      <w:rPr>
        <w:rFonts w:ascii="Oswald" w:hAnsi="Oswald"/>
        <w:b w:val="false"/>
        <w:b w:val="false"/>
        <w:bCs w:val="false"/>
        <w:color w:val="2B5020"/>
        <w:sz w:val="16"/>
        <w:szCs w:val="16"/>
      </w:rPr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58420</wp:posOffset>
          </wp:positionH>
          <wp:positionV relativeFrom="paragraph">
            <wp:posOffset>-40640</wp:posOffset>
          </wp:positionV>
          <wp:extent cx="826135" cy="373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swald" w:hAnsi="Oswald"/>
        <w:b w:val="false"/>
        <w:bCs w:val="false"/>
        <w:color w:val="2B5020"/>
        <w:sz w:val="16"/>
        <w:szCs w:val="16"/>
      </w:rPr>
      <w:t>PLIEGO DE CONDICIONES</w:t>
    </w:r>
  </w:p>
  <w:p>
    <w:pPr>
      <w:pStyle w:val="Normal"/>
      <w:bidi w:val="0"/>
      <w:jc w:val="right"/>
      <w:rPr>
        <w:rFonts w:ascii="Oswald" w:hAnsi="Oswald"/>
        <w:b w:val="false"/>
        <w:b w:val="false"/>
        <w:bCs w:val="false"/>
        <w:color w:val="2B5020"/>
        <w:sz w:val="16"/>
        <w:szCs w:val="16"/>
      </w:rPr>
    </w:pPr>
    <w:r>
      <w:rPr>
        <w:rFonts w:ascii="Oswald" w:hAnsi="Oswald"/>
        <w:b w:val="false"/>
        <w:bCs w:val="false"/>
        <w:color w:val="2B5020"/>
        <w:sz w:val="16"/>
        <w:szCs w:val="16"/>
      </w:rPr>
      <w:t xml:space="preserve">SISTEMA </w:t>
    </w:r>
    <w:r>
      <w:rPr>
        <w:rFonts w:ascii="Oswald" w:hAnsi="Oswald"/>
        <w:b w:val="false"/>
        <w:bCs w:val="false"/>
        <w:color w:val="2B5020"/>
        <w:sz w:val="16"/>
        <w:szCs w:val="16"/>
      </w:rPr>
      <w:t>F+P COLD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8532</TotalTime>
  <Application>LibreOffice/7.3.5.2$Windows_X86_64 LibreOffice_project/184fe81b8c8c30d8b5082578aee2fed2ea847c01</Application>
  <AppVersion>15.0000</AppVersion>
  <Pages>4</Pages>
  <Words>1275</Words>
  <Characters>6732</Characters>
  <CharactersWithSpaces>7903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2021-12-02T09:54:21Z</dcterms:created>
  <dc:creator/>
  <dc:description/>
  <dc:language>es-ES</dc:language>
  <cp:lastModifiedBy/>
  <dcterms:modified xsi:type="dcterms:W3CDTF">2022-08-02T12:01:13Z</dcterms:modified>
  <cp:revision>16</cp:revision>
  <dc:subject/>
  <dc:title/>
</cp:coreProperties>
</file>