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57"/>
        <w:jc w:val="both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bidi w:val="0"/>
        <w:spacing w:lineRule="auto" w:line="240" w:before="0" w:after="57"/>
        <w:jc w:val="center"/>
        <w:rPr>
          <w:rFonts w:ascii="Oswald" w:hAnsi="Oswald"/>
          <w:b w:val="false"/>
          <w:b w:val="false"/>
          <w:bCs w:val="false"/>
          <w:color w:val="2B5020"/>
          <w:sz w:val="24"/>
          <w:szCs w:val="24"/>
        </w:rPr>
      </w:pPr>
      <w:r>
        <w:rPr>
          <w:rFonts w:ascii="Oswald" w:hAnsi="Oswald"/>
          <w:b w:val="false"/>
          <w:bCs w:val="false"/>
          <w:color w:val="2B5020"/>
          <w:sz w:val="24"/>
          <w:szCs w:val="24"/>
        </w:rPr>
        <w:t>PLIEGO DE CONDICIONES SISTEMA CIKLA</w:t>
      </w:r>
    </w:p>
    <w:p>
      <w:pPr>
        <w:pStyle w:val="Normal"/>
        <w:bidi w:val="0"/>
        <w:spacing w:lineRule="auto" w:line="240" w:before="0" w:after="57"/>
        <w:jc w:val="center"/>
        <w:rPr>
          <w:rFonts w:ascii="Oswald" w:hAnsi="Oswald"/>
          <w:b w:val="false"/>
          <w:b w:val="false"/>
          <w:bCs w:val="false"/>
          <w:color w:val="2B5020"/>
          <w:sz w:val="24"/>
          <w:szCs w:val="24"/>
        </w:rPr>
      </w:pPr>
      <w:r>
        <w:rPr>
          <w:rFonts w:ascii="Oswald" w:hAnsi="Oswald"/>
          <w:b w:val="false"/>
          <w:bCs w:val="false"/>
          <w:color w:val="2B5020"/>
          <w:sz w:val="24"/>
          <w:szCs w:val="24"/>
        </w:rPr>
        <w:t>PRESCRIPCIONES EN CUANTO A LA EJECUCIÓN POR UNIDAD DE OBRA</w:t>
      </w:r>
    </w:p>
    <w:p>
      <w:pPr>
        <w:pStyle w:val="Normal"/>
        <w:bidi w:val="0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Cuerpodetexto"/>
        <w:bidi w:val="0"/>
        <w:spacing w:lineRule="auto" w:line="240" w:before="0" w:after="170"/>
        <w:ind w:left="709" w:right="0" w:hanging="0"/>
        <w:jc w:val="center"/>
        <w:rPr>
          <w:rFonts w:ascii="Roboto" w:hAnsi="Roboto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UNIDAD DE OBRA: CUBIERTA VEGETAL CON SUSTRATO PROPIO Y FLORA AUTÓCTONA. SISTEMA CIKLA.</w:t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1.   Características técnicas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Cubierta vegetal transitable con sustrato propio y flora autóctona, sistema Cikla, pendiente del 1% al 5%.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CAPA SEPARADORA, DRENANTE Y RETENEDORA: lámina nodular drenante de HDPE de 20mm de espesor con capacidad de retención de 6 ltr/m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2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>CAPA ABSORBENTE Y FILTRANTE SG-L25</w:t>
      </w:r>
      <w:r>
        <w:rPr>
          <w:rFonts w:ascii="Roboto" w:hAnsi="Robot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1"/>
          <w:u w:val="none"/>
          <w:effect w:val="none"/>
        </w:rPr>
        <w:t xml:space="preserve">: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sustrato inerte SGL25 para cubiertas vegetales de 25mm de espesor.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SUSTRATO DE LA EXCAVACIÓN: analizado y mejorado en función de análisis si es necesario.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SISTEMA DE RIEGO SG-R16: formado por tubería de riego autocompensante con goteros, incluida parte proporcional de codos, uniones y tubería de distribución.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CENTRALIZACIÓN DE RIEGO SG-A24R: Instalación, programación y puesta a punto de sistema de riego  con dosificación de fertilizante automática, y sistema de telecontrol y telegestión de riego GALCON GSI, con alertas de caudal y eléctricas por correo electrónico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TERMINACIÓN VEGETAL: mediante 16 plantas/m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2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especies autóctonas seleccionadas por un técnico de SingularGreen.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2. Normativa de aplicación</w:t>
      </w:r>
    </w:p>
    <w:p>
      <w:pPr>
        <w:pStyle w:val="Cuerpodetexto"/>
        <w:widowControl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CTE. DB HS Salubridad.</w:t>
      </w:r>
    </w:p>
    <w:p>
      <w:pPr>
        <w:pStyle w:val="Cuerpodetexto"/>
        <w:widowControl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CTE. DB SI Seguridad en caso de incendio.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NTE-QAA. Cubiertas: Azoteas ajardinadas.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NTJ 11C Cubiertas verdes.</w:t>
      </w:r>
    </w:p>
    <w:p>
      <w:pPr>
        <w:pStyle w:val="Cuerpodetexto"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3.   Criterio de medición en proyecto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Superficie medida en proyección horizontal, según documentación gráfica de Proyecto, desde las caras interiores de los antepechos o petos perimetrales que la limitan.</w:t>
      </w:r>
    </w:p>
    <w:p>
      <w:pPr>
        <w:pStyle w:val="Normal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4.   CONDICIONES PREVIAS QUE HAN DE CUMPLIRSE ANTES DE LA EJECUCIÓN DE LAS UNIDADES DE OBRA DEL SOPORTE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4.1 DEL SOPORTE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la superficie de la base resistente es uniforme y plana, está limpia y carece de restos de obra.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los paramentos verticales de casetones, petos perimetrales y otros elementos constructivos se encuentran terminados.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4.2 AMBIENTALES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suspenderán los trabajos cuando llueva, nieve o la velocidad del viento sea superior a 50 km/h, debiendo aplicarse en unas condiciones térmicas ambientales que se encuentren dentro de los márgenes prescritos en las correspondientes especificaciones de aplicación.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4.3 DEL CONTRATISTA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Habrá recibido la aceptación previa, por parte del fabricante, de la solución constructiva adoptada.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5.   PROCESO DE EJECUCIÓN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5.1 MEDIDAS PARA ASEGURAR LA COMPATIBILIDAD ENTRE LOS DIFERENTES PRODUCTOS, ELEMENTOS Y SISTEMAS CONSTRUCTIVOS QUE COMPONEN LA CUBIERTA Y SON INDEPENDIENTES A LA UNIDAD DE OBRA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</w:t>
      </w:r>
      <w:r>
        <w:rPr>
          <w:rFonts w:ascii="Roboto" w:hAnsi="Roboto"/>
          <w:caps w:val="false"/>
          <w:smallCaps w:val="false"/>
          <w:color w:val="000000"/>
          <w:sz w:val="22"/>
          <w:szCs w:val="22"/>
        </w:rPr>
        <w:t xml:space="preserve"> prestará especial atención a las incompatibilidades de uso que se especifican en las fichas técnicas de los diferentes elementos que pudieran componer el resto de componentes de la cubierta y que no forman parte de esta unidad de obra (soporte resistente, formación de pendientes, barrera de vapor, aislamiento térmico, impermeabilización y capas separadoras).</w:t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FASES DE EJECUCIÓN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Replanteo de los puntos singulares.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Limpieza y preparación de la superficie.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impermeabilización.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separadora bajo protección.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drenante y retenedora de agua.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filtrante.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Colocación de una primera capa de sustrato.</w:t>
      </w:r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Instalación de riego.</w:t>
      </w:r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Colocación de la segunda capa de sustrato.</w:t>
      </w:r>
    </w:p>
    <w:p>
      <w:pPr>
        <w:pStyle w:val="Normal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Relleno del espacio entre el borde de la cubierta y la vegetación con cantos rodados.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Terminación vegetal: Plantación.</w:t>
      </w:r>
    </w:p>
    <w:p>
      <w:pPr>
        <w:pStyle w:val="Cuerpodetexto"/>
        <w:widowControl/>
        <w:numPr>
          <w:ilvl w:val="1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Comprobación general.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5.3 CONDICIONES DE TERMINACIÓN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Serán básicas las condiciones de estanqueidad.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6.    Criterio de medición en obra y condiciones de abono</w:t>
      </w:r>
    </w:p>
    <w:p>
      <w:pPr>
        <w:pStyle w:val="Normal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medirá, en proyección horizontal, la superficie realmente ejecutada según especificaciones de Proyecto. Se deben incluir las caras interiores de los antepechos o petos perimetrales que limitan dicha superficie.</w:t>
      </w:r>
    </w:p>
    <w:p>
      <w:pPr>
        <w:pStyle w:val="Normal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precio no incluye la impermeabilización.</w:t>
      </w:r>
    </w:p>
    <w:p>
      <w:pPr>
        <w:pStyle w:val="Normal"/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7.    Conservación y mantenimiento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protegerá la cubierta de cualquier acción mecánica no prevista en el cálculo, hasta que se proceda a la colocación del sustrato. 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evitará la colocación de cualquier elemento no previsto en proyecto que pueda perforar la impermeabilización. </w:t>
      </w:r>
    </w:p>
    <w:p>
      <w:pPr>
        <w:pStyle w:val="Normal"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evitará el vertido de residuos de obra sobre la capa vegetal.</w:t>
      </w:r>
    </w:p>
    <w:p>
      <w:pPr>
        <w:pStyle w:val="Normal"/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891" w:footer="1134" w:bottom="219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charset w:val="00"/>
    <w:family w:val="roman"/>
    <w:pitch w:val="variable"/>
  </w:font>
  <w:font w:name="Oswal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SINGULARGREEN S.L. - C.I.F. B-54745583 - C/ Francisco Carratalá Cernuda 34, Bajo 1 – 03010 Alicante (España)</w:t>
    </w:r>
  </w:p>
  <w:p>
    <w:pPr>
      <w:pStyle w:val="Normal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Tfnos: (+34) 966 282 640 - (+34) 673 768 624 - info@singulargreen.com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16"/>
        <w:szCs w:val="16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swald" w:hAnsi="Oswald"/>
        <w:b w:val="false"/>
        <w:bCs w:val="false"/>
        <w:color w:val="2B5020"/>
        <w:sz w:val="16"/>
        <w:szCs w:val="16"/>
      </w:rPr>
      <w:t>PLIEGO DE CONDICIONES</w:t>
    </w:r>
  </w:p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16"/>
        <w:szCs w:val="16"/>
      </w:rPr>
    </w:pPr>
    <w:r>
      <w:rPr>
        <w:rFonts w:ascii="Oswald" w:hAnsi="Oswald"/>
        <w:b w:val="false"/>
        <w:bCs w:val="false"/>
        <w:color w:val="2B5020"/>
        <w:sz w:val="16"/>
        <w:szCs w:val="16"/>
      </w:rPr>
      <w:t>CUBIERTA CIKLA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8730</TotalTime>
  <Application>LibreOffice/7.4.5.1$Windows_X86_64 LibreOffice_project/9c0871452b3918c1019dde9bfac75448afc4b57f</Application>
  <AppVersion>15.0000</AppVersion>
  <Pages>3</Pages>
  <Words>661</Words>
  <Characters>3711</Characters>
  <CharactersWithSpaces>4319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2021-12-02T09:54:21Z</dcterms:created>
  <dc:creator/>
  <dc:description/>
  <dc:language>es-ES</dc:language>
  <cp:lastModifiedBy/>
  <dcterms:modified xsi:type="dcterms:W3CDTF">2023-03-23T11:02:05Z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