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57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spacing w:lineRule="auto" w:line="240" w:before="0" w:after="57"/>
        <w:jc w:val="both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spacing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Style w:val="Fuentedeprrafopredeter"/>
          <w:rFonts w:ascii="Oswald" w:hAnsi="Oswald"/>
          <w:color w:val="2B5020"/>
          <w:sz w:val="24"/>
          <w:szCs w:val="24"/>
        </w:rPr>
        <w:t>PLIEGO DE CONDICIONES SISTEMA CÁNTIR</w:t>
      </w:r>
    </w:p>
    <w:p>
      <w:pPr>
        <w:pStyle w:val="Normal"/>
        <w:spacing w:lineRule="auto" w:line="240"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Fonts w:ascii="Oswald" w:hAnsi="Oswald"/>
          <w:color w:val="2B5020"/>
          <w:sz w:val="24"/>
          <w:szCs w:val="24"/>
        </w:rPr>
        <w:t>PRESCRIPCIONES EN CUANTO A LA EJECUCIÓN POR UNIDAD DE OBRA</w:t>
      </w:r>
    </w:p>
    <w:p>
      <w:pPr>
        <w:pStyle w:val="Normal"/>
        <w:spacing w:lineRule="auto" w:line="240" w:before="0" w:after="170"/>
        <w:jc w:val="center"/>
        <w:rPr>
          <w:rFonts w:ascii="Oswald" w:hAnsi="Oswald"/>
          <w:color w:val="2B5020"/>
          <w:sz w:val="22"/>
          <w:szCs w:val="22"/>
        </w:rPr>
      </w:pPr>
      <w:r>
        <w:rPr>
          <w:rFonts w:ascii="Oswald" w:hAnsi="Oswald"/>
          <w:color w:val="2B5020"/>
          <w:sz w:val="22"/>
          <w:szCs w:val="22"/>
        </w:rPr>
      </w:r>
    </w:p>
    <w:p>
      <w:pPr>
        <w:pStyle w:val="Normal"/>
        <w:spacing w:lineRule="auto" w:line="240" w:before="0" w:after="170"/>
        <w:jc w:val="center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spacing w:lineRule="auto" w:line="240" w:before="0" w:after="57"/>
        <w:jc w:val="center"/>
        <w:rPr>
          <w:rFonts w:ascii="Oswald" w:hAnsi="Oswald"/>
          <w:color w:val="2B5020"/>
          <w:sz w:val="24"/>
          <w:szCs w:val="24"/>
        </w:rPr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  <w:t>UNIDAD DE OBRA: CUBIERTA VEGETAL CON APORTE DE SUSTRATO FORMULADO Y ESPECIES SELECCIONADAS. SISTEMA CÁNTIR</w:t>
      </w:r>
    </w:p>
    <w:p>
      <w:pPr>
        <w:pStyle w:val="Cuerpodetexto"/>
        <w:spacing w:lineRule="auto" w:line="240" w:before="0" w:after="170"/>
        <w:ind w:left="709" w:right="0" w:hanging="0"/>
        <w:jc w:val="center"/>
        <w:rPr>
          <w:rFonts w:ascii="Roboto" w:hAnsi="Roboto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i w:val="false"/>
          <w:caps w:val="false"/>
          <w:smallCaps w:val="false"/>
          <w:color w:val="000000"/>
          <w:spacing w:val="0"/>
          <w:sz w:val="22"/>
          <w:szCs w:val="22"/>
        </w:rPr>
      </w:r>
    </w:p>
    <w:p>
      <w:pPr>
        <w:pStyle w:val="Normal"/>
        <w:widowControl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1.   Características técnicas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Cubierta vegetal transitable con sustrato SG-SCB específico de espesor variable en función del acabado seleccionado y terminación vegetal mediante plantación o tepes de especies seleccionadas por un técnico de SingularGreen, sistema Cántir, pendiente del 1% al 5%.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CAPA SEPARADORA; SG-GT2 de 200gr/m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2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CAPA DRENANTE Y RETENEDORA: lámina nodular drenante de HDPE de 20mm de espesor con capacidad de retención de 6 ltr/m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  <w:vertAlign w:val="superscript"/>
        </w:rPr>
        <w:t>2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SUSTRATO-SCB específico para cubiertas vegetales de entre 10 cm y  40 cm de espesor medio en función del tipo de acabado elegido.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 xml:space="preserve">SISTEMA DE RIEGO SG-R16: formado por tubería de riego autocompensante con goteros, incluida parte proporcional de codos, uniones y tubería de distribución. 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CENTRALIZACIÓN DE RIEGO SG-A24R: Instalación, programación y puesta a punto de sistema de riego  con dosificación de fertilizante automática, y sistema de telecontrol y telegestión de riego GALCON GSI, con alertas de caudal y eléctricas por correo electrónico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1"/>
          <w:szCs w:val="21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TERMINACIÓN VEGETAL: En función del acabado deseado, mediante plantación de 25 plantas/m²</w:t>
      </w: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vertAlign w:val="superscript"/>
        </w:rPr>
        <w:t xml:space="preserve"> </w:t>
      </w: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1"/>
        </w:rPr>
        <w:t>o mediante tepes de especies seleccionadas por un técnico de SingularGreen.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1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1"/>
          <w:szCs w:val="22"/>
        </w:rPr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2. Normativa de aplicación</w:t>
      </w:r>
    </w:p>
    <w:p>
      <w:pPr>
        <w:pStyle w:val="Cuerpodetexto"/>
        <w:widowControl/>
        <w:numPr>
          <w:ilvl w:val="0"/>
          <w:numId w:val="1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CTE. DB HS Salubridad.</w:t>
      </w:r>
    </w:p>
    <w:p>
      <w:pPr>
        <w:pStyle w:val="Cuerpodetexto"/>
        <w:widowControl/>
        <w:numPr>
          <w:ilvl w:val="0"/>
          <w:numId w:val="1"/>
        </w:numPr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 xml:space="preserve">CTE. DB SI Seguridad en caso de incendio. </w:t>
      </w:r>
    </w:p>
    <w:p>
      <w:pPr>
        <w:pStyle w:val="Normal"/>
        <w:numPr>
          <w:ilvl w:val="0"/>
          <w:numId w:val="1"/>
        </w:numPr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  <w:t>NTE-QAA. Cubiertas: Azoteas ajardinadas.</w:t>
      </w:r>
    </w:p>
    <w:p>
      <w:pPr>
        <w:pStyle w:val="Normal"/>
        <w:numPr>
          <w:ilvl w:val="0"/>
          <w:numId w:val="1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NTJ 11C Cubiertas verdes.</w:t>
      </w:r>
    </w:p>
    <w:p>
      <w:pPr>
        <w:pStyle w:val="Cuerpodetexto"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3.   Criterio de medición en proyecto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Superficie medida en proyección horizontal, según documentación gráfica de Proyecto, desde las caras interiores de los antepechos o petos perimetrales que la limitan.</w:t>
      </w:r>
    </w:p>
    <w:p>
      <w:pPr>
        <w:pStyle w:val="Normal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/>
          <w:b/>
          <w:bCs/>
          <w:i w:val="false"/>
          <w:i w:val="false"/>
          <w:caps w:val="false"/>
          <w:smallCaps w:val="false"/>
          <w:color w:val="2B502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</w:r>
    </w:p>
    <w:p>
      <w:pPr>
        <w:pStyle w:val="Normal"/>
        <w:widowControl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4.   CONDICIONES PREVIAS QUE HAN DE CUMPLIRSE ANTES DE LA EJECUCIÓN DE LAS UNIDADES DE OBRA DEL SOPORTE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4.1 DEL SOPORTE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comprobará que la superficie de la base resistente es uniforme y plana, está limpia y carece de restos de obra.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comprobará que los paramentos verticales de casetones, petos perimetrales y otros elementos constructivos se encuentran terminados.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4.2 AMBIENTALES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 suspenderán los trabajos cuando llueva, nieve o la velocidad del viento sea superior a 50 km/h, debiendo aplicarse en unas condiciones térmicas ambientales que se encuentren dentro de los márgenes prescritos en las correspondientes especificaciones de aplicación.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4.3 DEL CONTRATISTA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Habrá recibido la aceptación previa, por parte del fabricante, de la solución constructiva adoptada.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widowControl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/>
          <w:bCs/>
          <w:i w:val="false"/>
          <w:caps w:val="false"/>
          <w:smallCaps w:val="false"/>
          <w:color w:val="2B5020"/>
          <w:spacing w:val="0"/>
          <w:sz w:val="22"/>
          <w:szCs w:val="22"/>
        </w:rPr>
        <w:t>5.   PROCESO DE EJECUCIÓN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5.1 MEDIDAS PARA ASEGURAR LA COMPATIBILIDAD ENTRE LOS DIFERENTES PRODUCTOS, ELEMENTOS Y SISTEMAS CONSTRUCTIVOS QUE COMPONEN LA CUBIERTA Y SON INDEPENDIENTES A LA UNIDAD DE OBRA</w:t>
      </w:r>
    </w:p>
    <w:p>
      <w:pPr>
        <w:pStyle w:val="Cuerpodetexto"/>
        <w:spacing w:lineRule="auto" w:line="240" w:before="0" w:after="170"/>
        <w:ind w:left="709" w:right="0" w:hanging="0"/>
        <w:jc w:val="both"/>
        <w:rPr>
          <w:rFonts w:ascii="Roboto" w:hAnsi="Roboto"/>
          <w:color w:val="00000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</w:t>
      </w:r>
      <w:r>
        <w:rPr>
          <w:rFonts w:ascii="Roboto" w:hAnsi="Roboto"/>
          <w:caps w:val="false"/>
          <w:smallCaps w:val="false"/>
          <w:color w:val="000000"/>
          <w:sz w:val="22"/>
          <w:szCs w:val="22"/>
        </w:rPr>
        <w:t xml:space="preserve"> prestará especial atención a las incompatibilidades de uso que se especifican en las fichas técnicas de los diferentes elementos que pudieran componer el resto de componentes de la cubierta y que no forman parte de esta unidad de obra (soporte resistente, formación de pendientes, barrera de vapor, aislamiento térmico, impermeabilización y capas separadoras).</w:t>
      </w:r>
    </w:p>
    <w:p>
      <w:pPr>
        <w:pStyle w:val="Cuerpodetexto"/>
        <w:widowControl/>
        <w:spacing w:lineRule="auto" w:line="240" w:before="0" w:after="170"/>
        <w:ind w:left="0" w:right="0" w:hanging="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5.2 FASES DE EJECUCIÓN.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Replanteo de los puntos singulares.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Limpieza y preparación de la superficie.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impermeabilización.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capa separadora bajo protección.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Colocación de la capa drenante y retenedora de agua.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Colocación de la capa filtrante.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Colocación del sustrato.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Relleno del espacio entre el borde de la cubierta y la vegetación con cantos rodados.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Terminación vegetal: Plantación o tepes.</w:t>
      </w:r>
    </w:p>
    <w:p>
      <w:pPr>
        <w:pStyle w:val="Normal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  <w:shd w:fill="auto" w:val="clear"/>
        </w:rPr>
        <w:t>Instalación de riego.</w:t>
      </w:r>
    </w:p>
    <w:p>
      <w:pPr>
        <w:pStyle w:val="Cuerpodetexto"/>
        <w:widowControl/>
        <w:numPr>
          <w:ilvl w:val="1"/>
          <w:numId w:val="2"/>
        </w:numPr>
        <w:spacing w:lineRule="auto" w:line="240" w:before="0" w:after="170"/>
        <w:jc w:val="both"/>
        <w:rPr>
          <w:rFonts w:ascii="Roboto" w:hAnsi="Roboto"/>
          <w:b w:val="false"/>
          <w:b w:val="false"/>
          <w:sz w:val="22"/>
          <w:szCs w:val="22"/>
          <w:shd w:fill="auto" w:val="clear"/>
        </w:rPr>
      </w:pPr>
      <w:r>
        <w:rPr>
          <w:rFonts w:ascii="Roboto" w:hAnsi="Roboto"/>
          <w:b w:val="false"/>
          <w:bCs w:val="false"/>
          <w:sz w:val="22"/>
          <w:szCs w:val="22"/>
          <w:shd w:fill="auto" w:val="clear"/>
        </w:rPr>
        <w:t>Comprobación general.</w:t>
      </w:r>
    </w:p>
    <w:p>
      <w:pPr>
        <w:pStyle w:val="Cuerpodetexto"/>
        <w:widowControl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i w:val="false"/>
          <w:i w:val="false"/>
          <w:caps w:val="false"/>
          <w:smallCaps w:val="false"/>
          <w:color w:val="1E6A39"/>
          <w:spacing w:val="0"/>
          <w:sz w:val="22"/>
          <w:szCs w:val="22"/>
        </w:rPr>
      </w:pPr>
      <w:r>
        <w:rPr>
          <w:rFonts w:ascii="Roboto" w:hAnsi="Roboto"/>
          <w:b w:val="false"/>
          <w:bCs w:val="false"/>
          <w:i w:val="false"/>
          <w:caps w:val="false"/>
          <w:smallCaps w:val="false"/>
          <w:color w:val="1E6A39"/>
          <w:spacing w:val="0"/>
          <w:sz w:val="22"/>
          <w:szCs w:val="22"/>
        </w:rPr>
        <w:t>5.3 CONDICIONES DE TERMINACIÓN</w:t>
      </w:r>
    </w:p>
    <w:p>
      <w:pPr>
        <w:pStyle w:val="Cuerpodetexto"/>
        <w:widowControl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2"/>
          <w:szCs w:val="22"/>
        </w:rPr>
      </w:pPr>
      <w:r>
        <w:rPr>
          <w:rFonts w:ascii="Roboto" w:hAnsi="Roboto"/>
          <w:b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Serán básicas las condiciones de estanqueidad.</w:t>
      </w:r>
    </w:p>
    <w:p>
      <w:pPr>
        <w:pStyle w:val="Cuerpodetexto"/>
        <w:widowControl/>
        <w:spacing w:lineRule="auto" w:line="240" w:before="0" w:after="170"/>
        <w:jc w:val="both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6.    Criterio de medición en obra y condiciones de abono</w:t>
      </w:r>
    </w:p>
    <w:p>
      <w:pPr>
        <w:pStyle w:val="Normal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medirá, en proyección horizontal, la superficie realmente ejecutada según especificaciones de Proyecto. Se deben incluir las caras interiores de los antepechos o petos perimetrales que limitan dicha superficie.</w:t>
      </w:r>
    </w:p>
    <w:p>
      <w:pPr>
        <w:pStyle w:val="Normal"/>
        <w:spacing w:lineRule="auto" w:line="240" w:before="0" w:after="170"/>
        <w:ind w:left="709" w:right="0" w:hanging="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El precio no incluye la impermeabilización.</w:t>
      </w:r>
    </w:p>
    <w:p>
      <w:pPr>
        <w:pStyle w:val="Normal"/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</w:r>
    </w:p>
    <w:p>
      <w:pPr>
        <w:pStyle w:val="Normal"/>
        <w:spacing w:lineRule="auto" w:line="240" w:before="0" w:after="170"/>
        <w:ind w:left="0" w:right="0" w:hanging="0"/>
        <w:jc w:val="both"/>
        <w:rPr>
          <w:rFonts w:ascii="Roboto" w:hAnsi="Roboto"/>
          <w:b/>
          <w:b/>
          <w:bCs/>
          <w:color w:val="2B5020"/>
          <w:sz w:val="22"/>
          <w:szCs w:val="22"/>
        </w:rPr>
      </w:pPr>
      <w:r>
        <w:rPr>
          <w:rFonts w:ascii="Roboto" w:hAnsi="Roboto"/>
          <w:b/>
          <w:bCs/>
          <w:color w:val="2B5020"/>
          <w:sz w:val="22"/>
          <w:szCs w:val="22"/>
        </w:rPr>
        <w:t>7.    Conservación y mantenimiento</w:t>
      </w:r>
    </w:p>
    <w:p>
      <w:pPr>
        <w:pStyle w:val="Normal"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protegerá la cubierta de cualquier acción mecánica no prevista en el cálculo, hasta que se proceda a la colocación del sustrato. </w:t>
      </w:r>
    </w:p>
    <w:p>
      <w:pPr>
        <w:pStyle w:val="Normal"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 xml:space="preserve">Se evitará la colocación de cualquier elemento no previsto en proyecto que pueda perforar la impermeabilización. </w:t>
      </w:r>
    </w:p>
    <w:p>
      <w:pPr>
        <w:pStyle w:val="Normal"/>
        <w:numPr>
          <w:ilvl w:val="1"/>
          <w:numId w:val="3"/>
        </w:numPr>
        <w:spacing w:lineRule="auto" w:line="240" w:before="0" w:after="170"/>
        <w:jc w:val="both"/>
        <w:rPr>
          <w:rFonts w:ascii="Roboto" w:hAnsi="Roboto"/>
          <w:b w:val="false"/>
          <w:b w:val="false"/>
          <w:bCs w:val="false"/>
          <w:sz w:val="22"/>
          <w:szCs w:val="22"/>
        </w:rPr>
      </w:pPr>
      <w:r>
        <w:rPr>
          <w:rFonts w:ascii="Roboto" w:hAnsi="Roboto"/>
          <w:b w:val="false"/>
          <w:bCs w:val="false"/>
          <w:sz w:val="22"/>
          <w:szCs w:val="22"/>
        </w:rPr>
        <w:t>Se evitará el vertido de residuos de obra sobre la capa vegetal.</w:t>
      </w:r>
    </w:p>
    <w:p>
      <w:pPr>
        <w:pStyle w:val="Normal"/>
        <w:numPr>
          <w:ilvl w:val="0"/>
          <w:numId w:val="0"/>
        </w:numPr>
        <w:ind w:left="1457" w:hanging="0"/>
        <w:rPr>
          <w:rFonts w:ascii="Roboto" w:hAnsi="Roboto"/>
          <w:sz w:val="22"/>
          <w:szCs w:val="22"/>
        </w:rPr>
      </w:pPr>
      <w:r>
        <w:rPr>
          <w:rFonts w:ascii="Roboto" w:hAnsi="Roboto"/>
          <w:sz w:val="22"/>
          <w:szCs w:val="22"/>
        </w:rPr>
      </w:r>
    </w:p>
    <w:p>
      <w:pPr>
        <w:pStyle w:val="Normal"/>
        <w:tabs>
          <w:tab w:val="clear" w:pos="709"/>
        </w:tabs>
        <w:ind w:left="360" w:right="0" w:hanging="0"/>
        <w:rPr>
          <w:rFonts w:ascii="Roboto" w:hAnsi="Roboto"/>
          <w:color w:val="2B5020"/>
          <w:sz w:val="22"/>
          <w:szCs w:val="22"/>
        </w:rPr>
      </w:pPr>
      <w:r>
        <w:rPr>
          <w:rFonts w:ascii="Roboto" w:hAnsi="Roboto"/>
          <w:color w:val="2B5020"/>
          <w:sz w:val="22"/>
          <w:szCs w:val="22"/>
        </w:rPr>
      </w:r>
    </w:p>
    <w:p>
      <w:pPr>
        <w:pStyle w:val="Normal"/>
        <w:tabs>
          <w:tab w:val="clear" w:pos="709"/>
        </w:tabs>
        <w:ind w:left="360" w:right="0" w:hanging="0"/>
        <w:rPr>
          <w:rFonts w:ascii="Roboto" w:hAnsi="Roboto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720" w:top="1134" w:footer="72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Symbol">
    <w:charset w:val="00"/>
    <w:family w:val="roman"/>
    <w:pitch w:val="variable"/>
  </w:font>
  <w:font w:name="Roboto">
    <w:charset w:val="00"/>
    <w:family w:val="roman"/>
    <w:pitch w:val="variable"/>
  </w:font>
  <w:font w:name="Oswald"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epgina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</w:r>
  </w:p>
  <w:p>
    <w:pPr>
      <w:pStyle w:val="Piedepgina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</w:r>
  </w:p>
  <w:p>
    <w:pPr>
      <w:pStyle w:val="Piedepgina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  <w:t>SINGULARGREEN S.L. - C.I.F. B-54745583 - C/ Francisco Carratalá Cernuda 34, Bajo 1 – 03010 Alicante (España)</w:t>
    </w:r>
  </w:p>
  <w:p>
    <w:pPr>
      <w:pStyle w:val="Normal"/>
      <w:jc w:val="center"/>
      <w:rPr>
        <w:rFonts w:ascii="Oswald" w:hAnsi="Oswald"/>
        <w:color w:val="25281F"/>
        <w:sz w:val="16"/>
        <w:szCs w:val="16"/>
      </w:rPr>
    </w:pPr>
    <w:r>
      <w:rPr>
        <w:rFonts w:ascii="Oswald" w:hAnsi="Oswald"/>
        <w:color w:val="25281F"/>
        <w:sz w:val="16"/>
        <w:szCs w:val="16"/>
      </w:rPr>
      <w:t>Tfnos: (+34) 966 282 640 - (+34) 673 768 624 - info@singulargreen.com</w:t>
    </w:r>
  </w:p>
  <w:p>
    <w:pPr>
      <w:pStyle w:val="Piedep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drawing>
        <wp:anchor behindDoc="1" distT="0" distB="0" distL="0" distR="0" simplePos="0" locked="0" layoutInCell="0" allowOverlap="1" relativeHeight="4">
          <wp:simplePos x="0" y="0"/>
          <wp:positionH relativeFrom="column">
            <wp:posOffset>58420</wp:posOffset>
          </wp:positionH>
          <wp:positionV relativeFrom="paragraph">
            <wp:posOffset>-40640</wp:posOffset>
          </wp:positionV>
          <wp:extent cx="826135" cy="373380"/>
          <wp:effectExtent l="0" t="0" r="0" b="0"/>
          <wp:wrapSquare wrapText="bothSides"/>
          <wp:docPr id="1" name="Imagen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Icon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26135" cy="3733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Fuentedeprrafopredeter"/>
        <w:rFonts w:ascii="Oswald" w:hAnsi="Oswald"/>
        <w:color w:val="2B5020"/>
        <w:sz w:val="16"/>
        <w:szCs w:val="16"/>
      </w:rPr>
      <w:t>PLIEGO DE CONDICIONES</w:t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>
        <w:rStyle w:val="Fuentedeprrafopredeter"/>
        <w:rFonts w:ascii="Oswald" w:hAnsi="Oswald"/>
        <w:color w:val="2B5020"/>
        <w:sz w:val="16"/>
        <w:szCs w:val="16"/>
      </w:rPr>
      <w:t>SISTEMA CÁNTIR</w:t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>
        <w:rFonts w:ascii="Oswald" w:hAnsi="Oswald"/>
        <w:color w:val="2B5020"/>
        <w:sz w:val="16"/>
        <w:szCs w:val="16"/>
      </w:rPr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>
        <w:rFonts w:ascii="Oswald" w:hAnsi="Oswald"/>
        <w:color w:val="2B5020"/>
        <w:sz w:val="16"/>
        <w:szCs w:val="16"/>
      </w:rPr>
    </w:r>
  </w:p>
  <w:p>
    <w:pPr>
      <w:pStyle w:val="Normal"/>
      <w:jc w:val="right"/>
      <w:rPr>
        <w:rFonts w:ascii="Oswald" w:hAnsi="Oswald"/>
        <w:color w:val="2B5020"/>
        <w:sz w:val="16"/>
        <w:szCs w:val="16"/>
      </w:rPr>
    </w:pPr>
    <w:r>
      <w:rPr>
        <w:rFonts w:ascii="Oswald" w:hAnsi="Oswald"/>
        <w:color w:val="2B502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Droid Sans Devanagari"/>
        <w:kern w:val="2"/>
        <w:sz w:val="24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Liberation Serif" w:hAnsi="Liberation Serif" w:eastAsia="Droid Sans Fallback" w:cs="Droid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character" w:styleId="Fuentedeprrafopredeter">
    <w:name w:val="Fuente de párrafo predeter."/>
    <w:qFormat/>
    <w:rPr/>
  </w:style>
  <w:style w:type="character" w:styleId="Smbolosdenumeracin">
    <w:name w:val="Símbolos de numeración"/>
    <w:qFormat/>
    <w:rPr/>
  </w:style>
  <w:style w:type="character" w:styleId="Vietas">
    <w:name w:val="Viñetas"/>
    <w:qFormat/>
    <w:rPr>
      <w:rFonts w:ascii="OpenSymbol" w:hAnsi="OpenSymbol" w:eastAsia="OpenSymbol" w:cs="OpenSymbol"/>
    </w:rPr>
  </w:style>
  <w:style w:type="character" w:styleId="WWCharLFO2LVL1">
    <w:name w:val="WW_CharLFO2LVL1"/>
    <w:qFormat/>
    <w:rPr>
      <w:rFonts w:ascii="OpenSymbol" w:hAnsi="OpenSymbol" w:eastAsia="OpenSymbol" w:cs="OpenSymbol"/>
    </w:rPr>
  </w:style>
  <w:style w:type="character" w:styleId="WWCharLFO2LVL2">
    <w:name w:val="WW_CharLFO2LVL2"/>
    <w:qFormat/>
    <w:rPr>
      <w:rFonts w:ascii="OpenSymbol" w:hAnsi="OpenSymbol" w:eastAsia="OpenSymbol" w:cs="OpenSymbol"/>
    </w:rPr>
  </w:style>
  <w:style w:type="character" w:styleId="WWCharLFO2LVL3">
    <w:name w:val="WW_CharLFO2LVL3"/>
    <w:qFormat/>
    <w:rPr>
      <w:rFonts w:ascii="OpenSymbol" w:hAnsi="OpenSymbol" w:eastAsia="OpenSymbol" w:cs="OpenSymbol"/>
    </w:rPr>
  </w:style>
  <w:style w:type="character" w:styleId="WWCharLFO2LVL4">
    <w:name w:val="WW_CharLFO2LVL4"/>
    <w:qFormat/>
    <w:rPr>
      <w:rFonts w:ascii="OpenSymbol" w:hAnsi="OpenSymbol" w:eastAsia="OpenSymbol" w:cs="OpenSymbol"/>
    </w:rPr>
  </w:style>
  <w:style w:type="character" w:styleId="WWCharLFO2LVL5">
    <w:name w:val="WW_CharLFO2LVL5"/>
    <w:qFormat/>
    <w:rPr>
      <w:rFonts w:ascii="OpenSymbol" w:hAnsi="OpenSymbol" w:eastAsia="OpenSymbol" w:cs="OpenSymbol"/>
    </w:rPr>
  </w:style>
  <w:style w:type="character" w:styleId="WWCharLFO2LVL6">
    <w:name w:val="WW_CharLFO2LVL6"/>
    <w:qFormat/>
    <w:rPr>
      <w:rFonts w:ascii="OpenSymbol" w:hAnsi="OpenSymbol" w:eastAsia="OpenSymbol" w:cs="OpenSymbol"/>
    </w:rPr>
  </w:style>
  <w:style w:type="character" w:styleId="WWCharLFO2LVL7">
    <w:name w:val="WW_CharLFO2LVL7"/>
    <w:qFormat/>
    <w:rPr>
      <w:rFonts w:ascii="OpenSymbol" w:hAnsi="OpenSymbol" w:eastAsia="OpenSymbol" w:cs="OpenSymbol"/>
    </w:rPr>
  </w:style>
  <w:style w:type="character" w:styleId="WWCharLFO2LVL8">
    <w:name w:val="WW_CharLFO2LVL8"/>
    <w:qFormat/>
    <w:rPr>
      <w:rFonts w:ascii="OpenSymbol" w:hAnsi="OpenSymbol" w:eastAsia="OpenSymbol" w:cs="OpenSymbol"/>
    </w:rPr>
  </w:style>
  <w:style w:type="character" w:styleId="WWCharLFO2LVL9">
    <w:name w:val="WW_CharLFO2LVL9"/>
    <w:qFormat/>
    <w:rPr>
      <w:rFonts w:ascii="OpenSymbol" w:hAnsi="OpenSymbol" w:eastAsia="OpenSymbol" w:cs="OpenSymbol"/>
    </w:rPr>
  </w:style>
  <w:style w:type="character" w:styleId="WWCharLFO3LVL1">
    <w:name w:val="WW_CharLFO3LVL1"/>
    <w:qFormat/>
    <w:rPr>
      <w:rFonts w:ascii="OpenSymbol" w:hAnsi="OpenSymbol" w:eastAsia="OpenSymbol" w:cs="OpenSymbol"/>
    </w:rPr>
  </w:style>
  <w:style w:type="character" w:styleId="WWCharLFO3LVL2">
    <w:name w:val="WW_CharLFO3LVL2"/>
    <w:qFormat/>
    <w:rPr>
      <w:rFonts w:ascii="OpenSymbol" w:hAnsi="OpenSymbol" w:eastAsia="OpenSymbol" w:cs="OpenSymbol"/>
    </w:rPr>
  </w:style>
  <w:style w:type="character" w:styleId="WWCharLFO3LVL3">
    <w:name w:val="WW_CharLFO3LVL3"/>
    <w:qFormat/>
    <w:rPr>
      <w:rFonts w:ascii="OpenSymbol" w:hAnsi="OpenSymbol" w:eastAsia="OpenSymbol" w:cs="OpenSymbol"/>
    </w:rPr>
  </w:style>
  <w:style w:type="character" w:styleId="WWCharLFO3LVL4">
    <w:name w:val="WW_CharLFO3LVL4"/>
    <w:qFormat/>
    <w:rPr>
      <w:rFonts w:ascii="OpenSymbol" w:hAnsi="OpenSymbol" w:eastAsia="OpenSymbol" w:cs="OpenSymbol"/>
    </w:rPr>
  </w:style>
  <w:style w:type="character" w:styleId="WWCharLFO3LVL5">
    <w:name w:val="WW_CharLFO3LVL5"/>
    <w:qFormat/>
    <w:rPr>
      <w:rFonts w:ascii="OpenSymbol" w:hAnsi="OpenSymbol" w:eastAsia="OpenSymbol" w:cs="OpenSymbol"/>
    </w:rPr>
  </w:style>
  <w:style w:type="character" w:styleId="WWCharLFO3LVL6">
    <w:name w:val="WW_CharLFO3LVL6"/>
    <w:qFormat/>
    <w:rPr>
      <w:rFonts w:ascii="OpenSymbol" w:hAnsi="OpenSymbol" w:eastAsia="OpenSymbol" w:cs="OpenSymbol"/>
    </w:rPr>
  </w:style>
  <w:style w:type="character" w:styleId="WWCharLFO3LVL7">
    <w:name w:val="WW_CharLFO3LVL7"/>
    <w:qFormat/>
    <w:rPr>
      <w:rFonts w:ascii="OpenSymbol" w:hAnsi="OpenSymbol" w:eastAsia="OpenSymbol" w:cs="OpenSymbol"/>
    </w:rPr>
  </w:style>
  <w:style w:type="character" w:styleId="WWCharLFO3LVL8">
    <w:name w:val="WW_CharLFO3LVL8"/>
    <w:qFormat/>
    <w:rPr>
      <w:rFonts w:ascii="OpenSymbol" w:hAnsi="OpenSymbol" w:eastAsia="OpenSymbol" w:cs="OpenSymbol"/>
    </w:rPr>
  </w:style>
  <w:style w:type="character" w:styleId="WWCharLFO3LVL9">
    <w:name w:val="WW_CharLFO3LVL9"/>
    <w:qFormat/>
    <w:rPr>
      <w:rFonts w:ascii="OpenSymbol" w:hAnsi="OpenSymbol" w:eastAsia="OpenSymbol" w:cs="OpenSymbol"/>
    </w:rPr>
  </w:style>
  <w:style w:type="character" w:styleId="WWCharLFO4LVL1">
    <w:name w:val="WW_CharLFO4LVL1"/>
    <w:qFormat/>
    <w:rPr>
      <w:rFonts w:ascii="OpenSymbol" w:hAnsi="OpenSymbol" w:eastAsia="OpenSymbol" w:cs="OpenSymbol"/>
    </w:rPr>
  </w:style>
  <w:style w:type="character" w:styleId="WWCharLFO4LVL2">
    <w:name w:val="WW_CharLFO4LVL2"/>
    <w:qFormat/>
    <w:rPr>
      <w:rFonts w:ascii="OpenSymbol" w:hAnsi="OpenSymbol" w:eastAsia="OpenSymbol" w:cs="OpenSymbol"/>
    </w:rPr>
  </w:style>
  <w:style w:type="character" w:styleId="WWCharLFO4LVL3">
    <w:name w:val="WW_CharLFO4LVL3"/>
    <w:qFormat/>
    <w:rPr>
      <w:rFonts w:ascii="OpenSymbol" w:hAnsi="OpenSymbol" w:eastAsia="OpenSymbol" w:cs="OpenSymbol"/>
    </w:rPr>
  </w:style>
  <w:style w:type="character" w:styleId="WWCharLFO4LVL4">
    <w:name w:val="WW_CharLFO4LVL4"/>
    <w:qFormat/>
    <w:rPr>
      <w:rFonts w:ascii="OpenSymbol" w:hAnsi="OpenSymbol" w:eastAsia="OpenSymbol" w:cs="OpenSymbol"/>
    </w:rPr>
  </w:style>
  <w:style w:type="character" w:styleId="WWCharLFO4LVL5">
    <w:name w:val="WW_CharLFO4LVL5"/>
    <w:qFormat/>
    <w:rPr>
      <w:rFonts w:ascii="OpenSymbol" w:hAnsi="OpenSymbol" w:eastAsia="OpenSymbol" w:cs="OpenSymbol"/>
    </w:rPr>
  </w:style>
  <w:style w:type="character" w:styleId="WWCharLFO4LVL6">
    <w:name w:val="WW_CharLFO4LVL6"/>
    <w:qFormat/>
    <w:rPr>
      <w:rFonts w:ascii="OpenSymbol" w:hAnsi="OpenSymbol" w:eastAsia="OpenSymbol" w:cs="OpenSymbol"/>
    </w:rPr>
  </w:style>
  <w:style w:type="character" w:styleId="WWCharLFO4LVL7">
    <w:name w:val="WW_CharLFO4LVL7"/>
    <w:qFormat/>
    <w:rPr>
      <w:rFonts w:ascii="OpenSymbol" w:hAnsi="OpenSymbol" w:eastAsia="OpenSymbol" w:cs="OpenSymbol"/>
    </w:rPr>
  </w:style>
  <w:style w:type="character" w:styleId="WWCharLFO4LVL8">
    <w:name w:val="WW_CharLFO4LVL8"/>
    <w:qFormat/>
    <w:rPr>
      <w:rFonts w:ascii="OpenSymbol" w:hAnsi="OpenSymbol" w:eastAsia="OpenSymbol" w:cs="OpenSymbol"/>
    </w:rPr>
  </w:style>
  <w:style w:type="character" w:styleId="WWCharLFO4LVL9">
    <w:name w:val="WW_CharLFO4LVL9"/>
    <w:qFormat/>
    <w:rPr>
      <w:rFonts w:ascii="OpenSymbol" w:hAnsi="OpenSymbol" w:eastAsia="OpenSymbol" w:cs="OpenSymbol"/>
    </w:rPr>
  </w:style>
  <w:style w:type="character" w:styleId="WWCharLFO5LVL1">
    <w:name w:val="WW_CharLFO5LVL1"/>
    <w:qFormat/>
    <w:rPr>
      <w:rFonts w:ascii="OpenSymbol" w:hAnsi="OpenSymbol" w:eastAsia="OpenSymbol" w:cs="OpenSymbol"/>
    </w:rPr>
  </w:style>
  <w:style w:type="character" w:styleId="WWCharLFO5LVL2">
    <w:name w:val="WW_CharLFO5LVL2"/>
    <w:qFormat/>
    <w:rPr>
      <w:rFonts w:ascii="OpenSymbol" w:hAnsi="OpenSymbol" w:eastAsia="OpenSymbol" w:cs="OpenSymbol"/>
    </w:rPr>
  </w:style>
  <w:style w:type="character" w:styleId="WWCharLFO5LVL3">
    <w:name w:val="WW_CharLFO5LVL3"/>
    <w:qFormat/>
    <w:rPr>
      <w:rFonts w:ascii="OpenSymbol" w:hAnsi="OpenSymbol" w:eastAsia="OpenSymbol" w:cs="OpenSymbol"/>
    </w:rPr>
  </w:style>
  <w:style w:type="character" w:styleId="WWCharLFO5LVL4">
    <w:name w:val="WW_CharLFO5LVL4"/>
    <w:qFormat/>
    <w:rPr>
      <w:rFonts w:ascii="OpenSymbol" w:hAnsi="OpenSymbol" w:eastAsia="OpenSymbol" w:cs="OpenSymbol"/>
    </w:rPr>
  </w:style>
  <w:style w:type="character" w:styleId="WWCharLFO5LVL5">
    <w:name w:val="WW_CharLFO5LVL5"/>
    <w:qFormat/>
    <w:rPr>
      <w:rFonts w:ascii="OpenSymbol" w:hAnsi="OpenSymbol" w:eastAsia="OpenSymbol" w:cs="OpenSymbol"/>
    </w:rPr>
  </w:style>
  <w:style w:type="character" w:styleId="WWCharLFO5LVL6">
    <w:name w:val="WW_CharLFO5LVL6"/>
    <w:qFormat/>
    <w:rPr>
      <w:rFonts w:ascii="OpenSymbol" w:hAnsi="OpenSymbol" w:eastAsia="OpenSymbol" w:cs="OpenSymbol"/>
    </w:rPr>
  </w:style>
  <w:style w:type="character" w:styleId="WWCharLFO5LVL7">
    <w:name w:val="WW_CharLFO5LVL7"/>
    <w:qFormat/>
    <w:rPr>
      <w:rFonts w:ascii="OpenSymbol" w:hAnsi="OpenSymbol" w:eastAsia="OpenSymbol" w:cs="OpenSymbol"/>
    </w:rPr>
  </w:style>
  <w:style w:type="character" w:styleId="WWCharLFO5LVL8">
    <w:name w:val="WW_CharLFO5LVL8"/>
    <w:qFormat/>
    <w:rPr>
      <w:rFonts w:ascii="OpenSymbol" w:hAnsi="OpenSymbol" w:eastAsia="OpenSymbol" w:cs="OpenSymbol"/>
    </w:rPr>
  </w:style>
  <w:style w:type="character" w:styleId="WWCharLFO5LVL9">
    <w:name w:val="WW_CharLFO5LVL9"/>
    <w:qFormat/>
    <w:rPr>
      <w:rFonts w:ascii="OpenSymbol" w:hAnsi="OpenSymbol" w:eastAsia="OpenSymbol" w:cs="OpenSymbol"/>
    </w:rPr>
  </w:style>
  <w:style w:type="character" w:styleId="WWCharLFO6LVL1">
    <w:name w:val="WW_CharLFO6LVL1"/>
    <w:qFormat/>
    <w:rPr>
      <w:rFonts w:ascii="OpenSymbol" w:hAnsi="OpenSymbol" w:eastAsia="OpenSymbol" w:cs="OpenSymbol"/>
    </w:rPr>
  </w:style>
  <w:style w:type="character" w:styleId="WWCharLFO6LVL2">
    <w:name w:val="WW_CharLFO6LVL2"/>
    <w:qFormat/>
    <w:rPr>
      <w:rFonts w:ascii="OpenSymbol" w:hAnsi="OpenSymbol" w:eastAsia="OpenSymbol" w:cs="OpenSymbol"/>
    </w:rPr>
  </w:style>
  <w:style w:type="character" w:styleId="WWCharLFO6LVL3">
    <w:name w:val="WW_CharLFO6LVL3"/>
    <w:qFormat/>
    <w:rPr>
      <w:rFonts w:ascii="OpenSymbol" w:hAnsi="OpenSymbol" w:eastAsia="OpenSymbol" w:cs="OpenSymbol"/>
    </w:rPr>
  </w:style>
  <w:style w:type="character" w:styleId="WWCharLFO6LVL4">
    <w:name w:val="WW_CharLFO6LVL4"/>
    <w:qFormat/>
    <w:rPr>
      <w:rFonts w:ascii="OpenSymbol" w:hAnsi="OpenSymbol" w:eastAsia="OpenSymbol" w:cs="OpenSymbol"/>
    </w:rPr>
  </w:style>
  <w:style w:type="character" w:styleId="WWCharLFO6LVL5">
    <w:name w:val="WW_CharLFO6LVL5"/>
    <w:qFormat/>
    <w:rPr>
      <w:rFonts w:ascii="OpenSymbol" w:hAnsi="OpenSymbol" w:eastAsia="OpenSymbol" w:cs="OpenSymbol"/>
    </w:rPr>
  </w:style>
  <w:style w:type="character" w:styleId="WWCharLFO6LVL6">
    <w:name w:val="WW_CharLFO6LVL6"/>
    <w:qFormat/>
    <w:rPr>
      <w:rFonts w:ascii="OpenSymbol" w:hAnsi="OpenSymbol" w:eastAsia="OpenSymbol" w:cs="OpenSymbol"/>
    </w:rPr>
  </w:style>
  <w:style w:type="character" w:styleId="WWCharLFO6LVL7">
    <w:name w:val="WW_CharLFO6LVL7"/>
    <w:qFormat/>
    <w:rPr>
      <w:rFonts w:ascii="OpenSymbol" w:hAnsi="OpenSymbol" w:eastAsia="OpenSymbol" w:cs="OpenSymbol"/>
    </w:rPr>
  </w:style>
  <w:style w:type="character" w:styleId="WWCharLFO6LVL8">
    <w:name w:val="WW_CharLFO6LVL8"/>
    <w:qFormat/>
    <w:rPr>
      <w:rFonts w:ascii="OpenSymbol" w:hAnsi="OpenSymbol" w:eastAsia="OpenSymbol" w:cs="OpenSymbol"/>
    </w:rPr>
  </w:style>
  <w:style w:type="character" w:styleId="WWCharLFO6LVL9">
    <w:name w:val="WW_CharLFO6LVL9"/>
    <w:qFormat/>
    <w:rPr>
      <w:rFonts w:ascii="OpenSymbol" w:hAnsi="OpenSymbol" w:eastAsia="OpenSymbol" w:cs="OpenSymbol"/>
    </w:rPr>
  </w:style>
  <w:style w:type="character" w:styleId="WWCharLFO7LVL1">
    <w:name w:val="WW_CharLFO7LVL1"/>
    <w:qFormat/>
    <w:rPr>
      <w:rFonts w:ascii="OpenSymbol" w:hAnsi="OpenSymbol" w:eastAsia="OpenSymbol" w:cs="OpenSymbol"/>
    </w:rPr>
  </w:style>
  <w:style w:type="character" w:styleId="WWCharLFO7LVL2">
    <w:name w:val="WW_CharLFO7LVL2"/>
    <w:qFormat/>
    <w:rPr>
      <w:rFonts w:ascii="OpenSymbol" w:hAnsi="OpenSymbol" w:eastAsia="OpenSymbol" w:cs="OpenSymbol"/>
    </w:rPr>
  </w:style>
  <w:style w:type="character" w:styleId="WWCharLFO7LVL3">
    <w:name w:val="WW_CharLFO7LVL3"/>
    <w:qFormat/>
    <w:rPr>
      <w:rFonts w:ascii="OpenSymbol" w:hAnsi="OpenSymbol" w:eastAsia="OpenSymbol" w:cs="OpenSymbol"/>
    </w:rPr>
  </w:style>
  <w:style w:type="character" w:styleId="WWCharLFO7LVL4">
    <w:name w:val="WW_CharLFO7LVL4"/>
    <w:qFormat/>
    <w:rPr>
      <w:rFonts w:ascii="OpenSymbol" w:hAnsi="OpenSymbol" w:eastAsia="OpenSymbol" w:cs="OpenSymbol"/>
    </w:rPr>
  </w:style>
  <w:style w:type="character" w:styleId="WWCharLFO7LVL5">
    <w:name w:val="WW_CharLFO7LVL5"/>
    <w:qFormat/>
    <w:rPr>
      <w:rFonts w:ascii="OpenSymbol" w:hAnsi="OpenSymbol" w:eastAsia="OpenSymbol" w:cs="OpenSymbol"/>
    </w:rPr>
  </w:style>
  <w:style w:type="character" w:styleId="WWCharLFO7LVL6">
    <w:name w:val="WW_CharLFO7LVL6"/>
    <w:qFormat/>
    <w:rPr>
      <w:rFonts w:ascii="OpenSymbol" w:hAnsi="OpenSymbol" w:eastAsia="OpenSymbol" w:cs="OpenSymbol"/>
    </w:rPr>
  </w:style>
  <w:style w:type="character" w:styleId="WWCharLFO7LVL7">
    <w:name w:val="WW_CharLFO7LVL7"/>
    <w:qFormat/>
    <w:rPr>
      <w:rFonts w:ascii="OpenSymbol" w:hAnsi="OpenSymbol" w:eastAsia="OpenSymbol" w:cs="OpenSymbol"/>
    </w:rPr>
  </w:style>
  <w:style w:type="character" w:styleId="WWCharLFO7LVL8">
    <w:name w:val="WW_CharLFO7LVL8"/>
    <w:qFormat/>
    <w:rPr>
      <w:rFonts w:ascii="OpenSymbol" w:hAnsi="OpenSymbol" w:eastAsia="OpenSymbol" w:cs="OpenSymbol"/>
    </w:rPr>
  </w:style>
  <w:style w:type="character" w:styleId="WWCharLFO7LVL9">
    <w:name w:val="WW_CharLFO7LVL9"/>
    <w:qFormat/>
    <w:rPr>
      <w:rFonts w:ascii="OpenSymbol" w:hAnsi="OpenSymbol" w:eastAsia="OpenSymbol" w:cs="OpenSymbol"/>
    </w:rPr>
  </w:style>
  <w:style w:type="character" w:styleId="WWCharLFO8LVL1">
    <w:name w:val="WW_CharLFO8LVL1"/>
    <w:qFormat/>
    <w:rPr>
      <w:rFonts w:ascii="Symbol" w:hAnsi="Symbol"/>
    </w:rPr>
  </w:style>
  <w:style w:type="paragraph" w:styleId="Ttulo">
    <w:name w:val="Título"/>
    <w:basedOn w:val="Normal"/>
    <w:next w:val="Cuerpodetexto"/>
    <w:qFormat/>
    <w:pPr>
      <w:suppressAutoHyphens w:val="true"/>
      <w:jc w:val="center"/>
    </w:pPr>
    <w:rPr>
      <w:b/>
      <w:bCs/>
      <w:sz w:val="56"/>
      <w:szCs w:val="56"/>
    </w:rPr>
  </w:style>
  <w:style w:type="paragraph" w:styleId="Cuerpodetexto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Cuerpodetexto"/>
    <w:pPr>
      <w:suppressAutoHyphens w:val="true"/>
    </w:pPr>
    <w:rPr/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uppressAutoHyphens w:val="true"/>
    </w:pPr>
    <w:rPr/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 w:before="0" w:after="0"/>
      <w:jc w:val="left"/>
    </w:pPr>
    <w:rPr>
      <w:rFonts w:ascii="Liberation Serif" w:hAnsi="Liberation Serif" w:eastAsia="Droid Sans Fallback" w:cs="Droid Sans Devanagari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es-ES" w:eastAsia="zh-CN" w:bidi="hi-IN"/>
    </w:rPr>
  </w:style>
  <w:style w:type="paragraph" w:styleId="Descripcin">
    <w:name w:val="Descripció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Encabezado">
    <w:name w:val="Encabezado"/>
    <w:basedOn w:val="Cabeceraypie"/>
    <w:qFormat/>
    <w:pPr>
      <w:suppressAutoHyphens w:val="true"/>
    </w:pPr>
    <w:rPr/>
  </w:style>
  <w:style w:type="paragraph" w:styleId="Piedepgina">
    <w:name w:val="Footer"/>
    <w:basedOn w:val="Cabeceraypie"/>
    <w:pPr>
      <w:suppressAutoHyphens w:val="true"/>
    </w:pPr>
    <w:rPr/>
  </w:style>
  <w:style w:type="paragraph" w:styleId="Prrafodelista">
    <w:name w:val="Párrafo de lista"/>
    <w:basedOn w:val="LONormal"/>
    <w:qFormat/>
    <w:pPr>
      <w:tabs>
        <w:tab w:val="clear" w:pos="709"/>
      </w:tabs>
      <w:suppressAutoHyphens w:val="true"/>
      <w:spacing w:before="0" w:after="0"/>
      <w:ind w:left="720" w:right="0" w:hanging="0"/>
      <w:contextualSpacing/>
    </w:pPr>
    <w:rPr>
      <w:rFonts w:cs="Mangal"/>
      <w:szCs w:val="21"/>
    </w:rPr>
  </w:style>
  <w:style w:type="paragraph" w:styleId="Cabecera">
    <w:name w:val="Header"/>
    <w:basedOn w:val="Cabeceraypie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891</TotalTime>
  <Application>LibreOffice/7.4.5.1$Windows_X86_64 LibreOffice_project/9c0871452b3918c1019dde9bfac75448afc4b57f</Application>
  <AppVersion>15.0000</AppVersion>
  <Pages>3</Pages>
  <Words>682</Words>
  <Characters>3832</Characters>
  <CharactersWithSpaces>4463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2021-12-02T09:54:00Z</dcterms:created>
  <dc:creator/>
  <dc:description/>
  <dc:language>es-ES</dc:language>
  <cp:lastModifiedBy/>
  <dcterms:modified xsi:type="dcterms:W3CDTF">2023-03-23T10:59:38Z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